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 xml:space="preserve">Terminy zjazdów kursu kwalifikacyjnego RL.03 – prowadzenie produkcji rolniczej </w:t>
      </w:r>
    </w:p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rok szkolny 2019/2020</w:t>
      </w:r>
    </w:p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III semestr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13-14.09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20-21.09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27-28.09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4-5.10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18-19.10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25-26.10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8-9.11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15-16.11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22-23.11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29-30.11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6-7.12</w:t>
      </w:r>
    </w:p>
    <w:p w:rsid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 xml:space="preserve"> 13-14.12</w:t>
      </w: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Nauczyciele: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 xml:space="preserve">Produkcja roślinna – Honorata </w:t>
      </w:r>
      <w:proofErr w:type="spellStart"/>
      <w:r w:rsidRPr="005C6724">
        <w:rPr>
          <w:rFonts w:ascii="Calibri" w:eastAsia="Calibri" w:hAnsi="Calibri" w:cs="Calibri"/>
          <w:b/>
          <w:bCs/>
        </w:rPr>
        <w:t>Kopp</w:t>
      </w:r>
      <w:proofErr w:type="spellEnd"/>
      <w:r w:rsidRPr="005C6724">
        <w:rPr>
          <w:rFonts w:ascii="Calibri" w:eastAsia="Calibri" w:hAnsi="Calibri" w:cs="Calibri"/>
          <w:b/>
          <w:bCs/>
        </w:rPr>
        <w:t xml:space="preserve"> Ostrowska - 46 godzin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Produkcja zwierzęca – Stanisław Sienkiewicz - 46 godzin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Mechanizacja – Maciej Pawłowski – 41 godzin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Bezpieczeństwo i higiena pracy – Tomasz Went - 30 godzin</w:t>
      </w:r>
    </w:p>
    <w:p w:rsid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Prowadzenie działalności gospodarczej – Małgorzata Kręcicka – 10 godzin</w:t>
      </w: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lastRenderedPageBreak/>
        <w:t>I zjazd</w:t>
      </w: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13.09 piątek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8"/>
        <w:gridCol w:w="2929"/>
        <w:gridCol w:w="898"/>
        <w:gridCol w:w="2268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15.30-16.15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16.20-17.05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17.10-17.55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18.00-18.45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18.50-19.35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</w:tbl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14.09 – sobota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3118"/>
        <w:gridCol w:w="992"/>
        <w:gridCol w:w="2127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8.00-8.45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8.50-9.35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9.40-10.25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10.30-11.15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11.30-12.15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12.20-13.05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13.10-13.55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14.50-15.35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</w:tbl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>II zjazd</w:t>
      </w: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20.09 – piątek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1453"/>
        <w:gridCol w:w="3198"/>
        <w:gridCol w:w="921"/>
        <w:gridCol w:w="2858"/>
        <w:gridCol w:w="909"/>
      </w:tblGrid>
      <w:tr w:rsidR="005C6724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  <w:bookmarkStart w:id="0" w:name="_GoBack"/>
        <w:bookmarkEnd w:id="0"/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15.30-16.15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16.20-17.05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17.10-17.55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18.00-18.45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18.50-19.35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tbl>
      <w:tblPr>
        <w:tblpPr w:leftFromText="141" w:rightFromText="141" w:vertAnchor="text" w:horzAnchor="margin" w:tblpY="36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119"/>
        <w:gridCol w:w="898"/>
        <w:gridCol w:w="2929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8.00-8.45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8.50-9.35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9.40-10.25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10.30-11.15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11.20-12.05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12.10-13.05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13.10-13.55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14.00-14.45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14.50-15.35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21.09 – sobota </w:t>
      </w: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4D11D7" w:rsidRDefault="004D11D7"/>
    <w:sectPr w:rsidR="004D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3C4"/>
    <w:multiLevelType w:val="hybridMultilevel"/>
    <w:tmpl w:val="0A60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17C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CCC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85AA9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0626"/>
    <w:multiLevelType w:val="hybridMultilevel"/>
    <w:tmpl w:val="62A6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C6362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64"/>
    <w:rsid w:val="001E4064"/>
    <w:rsid w:val="004D11D7"/>
    <w:rsid w:val="005C6724"/>
    <w:rsid w:val="00C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6BD2-16D7-46AC-A952-4A4C7B5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5</cp:revision>
  <dcterms:created xsi:type="dcterms:W3CDTF">2019-09-17T09:32:00Z</dcterms:created>
  <dcterms:modified xsi:type="dcterms:W3CDTF">2019-09-17T11:37:00Z</dcterms:modified>
</cp:coreProperties>
</file>