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E6E" w:rsidRPr="00EE4E6E" w:rsidRDefault="00EE4E6E" w:rsidP="00EE4E6E">
      <w:pPr>
        <w:widowControl/>
        <w:spacing w:line="184" w:lineRule="atLeast"/>
        <w:outlineLvl w:val="0"/>
        <w:rPr>
          <w:rFonts w:ascii="Times New Roman" w:eastAsia="Times New Roman" w:hAnsi="Times New Roman" w:cs="Times New Roman"/>
          <w:b/>
          <w:bCs/>
          <w:color w:val="F08D00"/>
          <w:kern w:val="36"/>
          <w:sz w:val="24"/>
          <w:szCs w:val="24"/>
          <w:lang w:val="pl-PL" w:eastAsia="pl-PL"/>
        </w:rPr>
      </w:pPr>
      <w:r w:rsidRPr="00EE4E6E">
        <w:rPr>
          <w:rFonts w:ascii="Times New Roman" w:eastAsia="Times New Roman" w:hAnsi="Times New Roman" w:cs="Times New Roman"/>
          <w:b/>
          <w:bCs/>
          <w:color w:val="F08D00"/>
          <w:kern w:val="36"/>
          <w:sz w:val="24"/>
          <w:szCs w:val="24"/>
          <w:lang w:val="pl-PL" w:eastAsia="pl-PL"/>
        </w:rPr>
        <w:t>Zasady stosowania</w:t>
      </w:r>
    </w:p>
    <w:tbl>
      <w:tblPr>
        <w:tblW w:w="5000" w:type="pct"/>
        <w:tblCellSpacing w:w="0" w:type="dxa"/>
        <w:tblCellMar>
          <w:left w:w="0" w:type="dxa"/>
          <w:right w:w="0" w:type="dxa"/>
        </w:tblCellMar>
        <w:tblLook w:val="04A0"/>
      </w:tblPr>
      <w:tblGrid>
        <w:gridCol w:w="9072"/>
      </w:tblGrid>
      <w:tr w:rsidR="00EE4E6E" w:rsidRPr="00EE4E6E" w:rsidTr="00EE4E6E">
        <w:trPr>
          <w:trHeight w:val="300"/>
          <w:tblCellSpacing w:w="0" w:type="dxa"/>
        </w:trPr>
        <w:tc>
          <w:tcPr>
            <w:tcW w:w="0" w:type="auto"/>
            <w:vAlign w:val="center"/>
            <w:hideMark/>
          </w:tcPr>
          <w:p w:rsidR="00EE4E6E" w:rsidRPr="00EE4E6E" w:rsidRDefault="00EE4E6E" w:rsidP="00EE4E6E">
            <w:pPr>
              <w:widowControl/>
              <w:spacing w:line="184" w:lineRule="atLeast"/>
              <w:rPr>
                <w:rFonts w:ascii="Times New Roman" w:eastAsia="Times New Roman" w:hAnsi="Times New Roman" w:cs="Times New Roman"/>
                <w:color w:val="666666"/>
                <w:sz w:val="24"/>
                <w:szCs w:val="24"/>
                <w:lang w:val="pl-PL" w:eastAsia="pl-PL"/>
              </w:rPr>
            </w:pPr>
          </w:p>
        </w:tc>
      </w:tr>
      <w:tr w:rsidR="00EE4E6E" w:rsidRPr="00EE4E6E" w:rsidTr="00EE4E6E">
        <w:trPr>
          <w:tblCellSpacing w:w="0" w:type="dxa"/>
        </w:trPr>
        <w:tc>
          <w:tcPr>
            <w:tcW w:w="0" w:type="auto"/>
            <w:hideMark/>
          </w:tcPr>
          <w:p w:rsidR="00EE4E6E" w:rsidRPr="00EE4E6E" w:rsidRDefault="00EE4E6E" w:rsidP="00EE4E6E">
            <w:pPr>
              <w:widowControl/>
              <w:spacing w:line="184" w:lineRule="atLeast"/>
              <w:rPr>
                <w:rFonts w:ascii="Times New Roman" w:eastAsia="Times New Roman" w:hAnsi="Times New Roman" w:cs="Times New Roman"/>
                <w:color w:val="666666"/>
                <w:sz w:val="24"/>
                <w:szCs w:val="24"/>
                <w:lang w:val="pl-PL" w:eastAsia="pl-PL"/>
              </w:rPr>
            </w:pPr>
          </w:p>
        </w:tc>
      </w:tr>
    </w:tbl>
    <w:p w:rsidR="00EE4E6E" w:rsidRPr="00EE4E6E" w:rsidRDefault="00EE4E6E" w:rsidP="00EE4E6E">
      <w:pPr>
        <w:widowControl/>
        <w:spacing w:line="184" w:lineRule="atLeast"/>
        <w:rPr>
          <w:rFonts w:ascii="Times New Roman" w:eastAsia="Times New Roman" w:hAnsi="Times New Roman" w:cs="Times New Roman"/>
          <w:vanish/>
          <w:color w:val="666666"/>
          <w:sz w:val="24"/>
          <w:szCs w:val="24"/>
          <w:lang w:val="pl-PL" w:eastAsia="pl-PL"/>
        </w:rPr>
      </w:pPr>
    </w:p>
    <w:tbl>
      <w:tblPr>
        <w:tblW w:w="5000" w:type="pct"/>
        <w:tblCellSpacing w:w="0" w:type="dxa"/>
        <w:tblCellMar>
          <w:left w:w="0" w:type="dxa"/>
          <w:right w:w="0" w:type="dxa"/>
        </w:tblCellMar>
        <w:tblLook w:val="04A0"/>
      </w:tblPr>
      <w:tblGrid>
        <w:gridCol w:w="9072"/>
      </w:tblGrid>
      <w:tr w:rsidR="00EE4E6E" w:rsidRPr="00EE4E6E" w:rsidTr="00EE4E6E">
        <w:trPr>
          <w:tblCellSpacing w:w="0" w:type="dxa"/>
        </w:trPr>
        <w:tc>
          <w:tcPr>
            <w:tcW w:w="0" w:type="auto"/>
            <w:hideMark/>
          </w:tcPr>
          <w:p w:rsidR="00EE4E6E" w:rsidRPr="00EE4E6E" w:rsidRDefault="00EE4E6E" w:rsidP="00EE4E6E">
            <w:pPr>
              <w:widowControl/>
              <w:spacing w:line="184" w:lineRule="atLeast"/>
              <w:rPr>
                <w:rFonts w:ascii="Times New Roman" w:eastAsia="Times New Roman" w:hAnsi="Times New Roman" w:cs="Times New Roman"/>
                <w:color w:val="666666"/>
                <w:sz w:val="24"/>
                <w:szCs w:val="24"/>
                <w:lang w:val="pl-PL" w:eastAsia="pl-PL"/>
              </w:rPr>
            </w:pPr>
          </w:p>
        </w:tc>
      </w:tr>
    </w:tbl>
    <w:p w:rsidR="00EE4E6E" w:rsidRPr="00EE4E6E" w:rsidRDefault="00EE4E6E" w:rsidP="00EE4E6E">
      <w:pPr>
        <w:widowControl/>
        <w:spacing w:line="184" w:lineRule="atLeast"/>
        <w:rPr>
          <w:rFonts w:ascii="Times New Roman" w:eastAsia="Times New Roman" w:hAnsi="Times New Roman" w:cs="Times New Roman"/>
          <w:vanish/>
          <w:color w:val="666666"/>
          <w:sz w:val="24"/>
          <w:szCs w:val="24"/>
          <w:lang w:val="pl-PL" w:eastAsia="pl-PL"/>
        </w:rPr>
      </w:pPr>
    </w:p>
    <w:tbl>
      <w:tblPr>
        <w:tblW w:w="5000" w:type="pct"/>
        <w:tblCellSpacing w:w="0" w:type="dxa"/>
        <w:tblCellMar>
          <w:left w:w="0" w:type="dxa"/>
          <w:right w:w="0" w:type="dxa"/>
        </w:tblCellMar>
        <w:tblLook w:val="04A0"/>
      </w:tblPr>
      <w:tblGrid>
        <w:gridCol w:w="9072"/>
      </w:tblGrid>
      <w:tr w:rsidR="00EE4E6E" w:rsidRPr="00EE4E6E" w:rsidTr="00EE4E6E">
        <w:trPr>
          <w:tblCellSpacing w:w="0" w:type="dxa"/>
        </w:trPr>
        <w:tc>
          <w:tcPr>
            <w:tcW w:w="0" w:type="auto"/>
            <w:vAlign w:val="center"/>
            <w:hideMark/>
          </w:tcPr>
          <w:p w:rsidR="00EE4E6E" w:rsidRPr="00EE4E6E" w:rsidRDefault="00EE4E6E" w:rsidP="00EE4E6E">
            <w:pPr>
              <w:widowControl/>
              <w:spacing w:line="184" w:lineRule="atLeast"/>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Celem stosowania środków ochrony roślin jest osiągnięcie maksymalnej skuteczności przy zachowaniu bezpieczeństwa dla ludzi oraz środowiska.</w:t>
            </w:r>
            <w:r w:rsidRPr="00EE4E6E">
              <w:rPr>
                <w:rFonts w:ascii="Times New Roman" w:eastAsia="Times New Roman" w:hAnsi="Times New Roman" w:cs="Times New Roman"/>
                <w:color w:val="666666"/>
                <w:sz w:val="24"/>
                <w:szCs w:val="24"/>
                <w:lang w:val="pl-PL" w:eastAsia="pl-PL"/>
              </w:rPr>
              <w:br/>
            </w:r>
            <w:r w:rsidRPr="00EE4E6E">
              <w:rPr>
                <w:rFonts w:ascii="Times New Roman" w:eastAsia="Times New Roman" w:hAnsi="Times New Roman" w:cs="Times New Roman"/>
                <w:color w:val="666666"/>
                <w:sz w:val="24"/>
                <w:szCs w:val="24"/>
                <w:lang w:val="pl-PL" w:eastAsia="pl-PL"/>
              </w:rPr>
              <w:br/>
            </w:r>
            <w:r w:rsidRPr="00EE4E6E">
              <w:rPr>
                <w:rFonts w:ascii="Times New Roman" w:eastAsia="Times New Roman" w:hAnsi="Times New Roman" w:cs="Times New Roman"/>
                <w:b/>
                <w:bCs/>
                <w:color w:val="666666"/>
                <w:sz w:val="24"/>
                <w:szCs w:val="24"/>
                <w:lang w:val="pl-PL" w:eastAsia="pl-PL"/>
              </w:rPr>
              <w:t>1. Podstawowe wskazówki</w:t>
            </w:r>
            <w:r w:rsidRPr="00EE4E6E">
              <w:rPr>
                <w:rFonts w:ascii="Times New Roman" w:eastAsia="Times New Roman" w:hAnsi="Times New Roman" w:cs="Times New Roman"/>
                <w:color w:val="666666"/>
                <w:sz w:val="24"/>
                <w:szCs w:val="24"/>
                <w:lang w:val="pl-PL" w:eastAsia="pl-PL"/>
              </w:rPr>
              <w:br/>
            </w:r>
            <w:r w:rsidRPr="00EE4E6E">
              <w:rPr>
                <w:rFonts w:ascii="Times New Roman" w:eastAsia="Times New Roman" w:hAnsi="Times New Roman" w:cs="Times New Roman"/>
                <w:color w:val="666666"/>
                <w:sz w:val="24"/>
                <w:szCs w:val="24"/>
                <w:lang w:val="pl-PL" w:eastAsia="pl-PL"/>
              </w:rPr>
              <w:br/>
              <w:t xml:space="preserve">Podstawowe wskazówki potrzebne w praktyce: </w:t>
            </w:r>
          </w:p>
          <w:p w:rsidR="00EE4E6E" w:rsidRPr="00EE4E6E" w:rsidRDefault="00EE4E6E" w:rsidP="00EE4E6E">
            <w:pPr>
              <w:widowControl/>
              <w:numPr>
                <w:ilvl w:val="0"/>
                <w:numId w:val="1"/>
              </w:numPr>
              <w:spacing w:line="184" w:lineRule="atLeast"/>
              <w:ind w:left="346"/>
              <w:rPr>
                <w:rFonts w:ascii="Times New Roman" w:eastAsia="Times New Roman" w:hAnsi="Times New Roman" w:cs="Times New Roman"/>
                <w:color w:val="339933"/>
                <w:sz w:val="24"/>
                <w:szCs w:val="24"/>
                <w:lang w:val="pl-PL" w:eastAsia="pl-PL"/>
              </w:rPr>
            </w:pPr>
            <w:r w:rsidRPr="00EE4E6E">
              <w:rPr>
                <w:rFonts w:ascii="Times New Roman" w:eastAsia="Times New Roman" w:hAnsi="Times New Roman" w:cs="Times New Roman"/>
                <w:color w:val="333333"/>
                <w:sz w:val="24"/>
                <w:szCs w:val="24"/>
                <w:lang w:val="pl-PL" w:eastAsia="pl-PL"/>
              </w:rPr>
              <w:t>Należy dobrać najwłaściwszy środek w danych warunkach przyrodniczo-ekonomicznych.</w:t>
            </w:r>
            <w:r w:rsidRPr="00EE4E6E">
              <w:rPr>
                <w:rFonts w:ascii="Times New Roman" w:eastAsia="Times New Roman" w:hAnsi="Times New Roman" w:cs="Times New Roman"/>
                <w:color w:val="339933"/>
                <w:sz w:val="24"/>
                <w:szCs w:val="24"/>
                <w:lang w:val="pl-PL" w:eastAsia="pl-PL"/>
              </w:rPr>
              <w:t xml:space="preserve"> </w:t>
            </w:r>
          </w:p>
          <w:p w:rsidR="00EE4E6E" w:rsidRPr="00EE4E6E" w:rsidRDefault="00EE4E6E" w:rsidP="00EE4E6E">
            <w:pPr>
              <w:widowControl/>
              <w:numPr>
                <w:ilvl w:val="0"/>
                <w:numId w:val="1"/>
              </w:numPr>
              <w:spacing w:line="184" w:lineRule="atLeast"/>
              <w:ind w:left="346"/>
              <w:rPr>
                <w:rFonts w:ascii="Times New Roman" w:eastAsia="Times New Roman" w:hAnsi="Times New Roman" w:cs="Times New Roman"/>
                <w:color w:val="339933"/>
                <w:sz w:val="24"/>
                <w:szCs w:val="24"/>
                <w:lang w:val="pl-PL" w:eastAsia="pl-PL"/>
              </w:rPr>
            </w:pPr>
            <w:r w:rsidRPr="00EE4E6E">
              <w:rPr>
                <w:rFonts w:ascii="Times New Roman" w:eastAsia="Times New Roman" w:hAnsi="Times New Roman" w:cs="Times New Roman"/>
                <w:color w:val="333333"/>
                <w:sz w:val="24"/>
                <w:szCs w:val="24"/>
                <w:lang w:val="pl-PL" w:eastAsia="pl-PL"/>
              </w:rPr>
              <w:t>Należy użyć takiej metody stosowania, która pozwoli na uzyskanie najlepszej skuteczności działania środka i umożliwi naniesienie go na obszar docelowy.</w:t>
            </w:r>
            <w:r w:rsidRPr="00EE4E6E">
              <w:rPr>
                <w:rFonts w:ascii="Times New Roman" w:eastAsia="Times New Roman" w:hAnsi="Times New Roman" w:cs="Times New Roman"/>
                <w:color w:val="339933"/>
                <w:sz w:val="24"/>
                <w:szCs w:val="24"/>
                <w:lang w:val="pl-PL" w:eastAsia="pl-PL"/>
              </w:rPr>
              <w:t xml:space="preserve"> </w:t>
            </w:r>
          </w:p>
          <w:p w:rsidR="00EE4E6E" w:rsidRPr="00EE4E6E" w:rsidRDefault="00EE4E6E" w:rsidP="00EE4E6E">
            <w:pPr>
              <w:widowControl/>
              <w:numPr>
                <w:ilvl w:val="0"/>
                <w:numId w:val="1"/>
              </w:numPr>
              <w:spacing w:line="184" w:lineRule="atLeast"/>
              <w:ind w:left="346"/>
              <w:rPr>
                <w:rFonts w:ascii="Times New Roman" w:eastAsia="Times New Roman" w:hAnsi="Times New Roman" w:cs="Times New Roman"/>
                <w:color w:val="339933"/>
                <w:sz w:val="24"/>
                <w:szCs w:val="24"/>
                <w:lang w:val="pl-PL" w:eastAsia="pl-PL"/>
              </w:rPr>
            </w:pPr>
            <w:r w:rsidRPr="00EE4E6E">
              <w:rPr>
                <w:rFonts w:ascii="Times New Roman" w:eastAsia="Times New Roman" w:hAnsi="Times New Roman" w:cs="Times New Roman"/>
                <w:color w:val="333333"/>
                <w:sz w:val="24"/>
                <w:szCs w:val="24"/>
                <w:lang w:val="pl-PL" w:eastAsia="pl-PL"/>
              </w:rPr>
              <w:t>Należy nie dopuszczać do przekroczenia przez szkodniki poziomu ekonomicznej szkodliwości. Nie należy opóźniać zabiegu.</w:t>
            </w:r>
            <w:r w:rsidRPr="00EE4E6E">
              <w:rPr>
                <w:rFonts w:ascii="Times New Roman" w:eastAsia="Times New Roman" w:hAnsi="Times New Roman" w:cs="Times New Roman"/>
                <w:color w:val="339933"/>
                <w:sz w:val="24"/>
                <w:szCs w:val="24"/>
                <w:lang w:val="pl-PL" w:eastAsia="pl-PL"/>
              </w:rPr>
              <w:t xml:space="preserve"> </w:t>
            </w:r>
          </w:p>
          <w:p w:rsidR="00EE4E6E" w:rsidRPr="00EE4E6E" w:rsidRDefault="00EE4E6E" w:rsidP="00EE4E6E">
            <w:pPr>
              <w:widowControl/>
              <w:numPr>
                <w:ilvl w:val="0"/>
                <w:numId w:val="1"/>
              </w:numPr>
              <w:spacing w:line="184" w:lineRule="atLeast"/>
              <w:ind w:left="346"/>
              <w:rPr>
                <w:rFonts w:ascii="Times New Roman" w:eastAsia="Times New Roman" w:hAnsi="Times New Roman" w:cs="Times New Roman"/>
                <w:color w:val="339933"/>
                <w:sz w:val="24"/>
                <w:szCs w:val="24"/>
                <w:lang w:val="pl-PL" w:eastAsia="pl-PL"/>
              </w:rPr>
            </w:pPr>
            <w:r w:rsidRPr="00EE4E6E">
              <w:rPr>
                <w:rFonts w:ascii="Times New Roman" w:eastAsia="Times New Roman" w:hAnsi="Times New Roman" w:cs="Times New Roman"/>
                <w:color w:val="333333"/>
                <w:sz w:val="24"/>
                <w:szCs w:val="24"/>
                <w:lang w:val="pl-PL" w:eastAsia="pl-PL"/>
              </w:rPr>
              <w:t>Należy zapoznać się i zrozumieć informacje o szkodliwości umieszczone na etykiecie produktu. Należy uwzględnić zagrożenia i postępować w sposób chroniący stosującego, innych ludzi, faunę i środowisko naturalne. Nie wolno dopuścić do kontaktu z preparatami osób niepowołanych, zwłaszcza dzieci.</w:t>
            </w:r>
            <w:r w:rsidRPr="00EE4E6E">
              <w:rPr>
                <w:rFonts w:ascii="Times New Roman" w:eastAsia="Times New Roman" w:hAnsi="Times New Roman" w:cs="Times New Roman"/>
                <w:color w:val="339933"/>
                <w:sz w:val="24"/>
                <w:szCs w:val="24"/>
                <w:lang w:val="pl-PL" w:eastAsia="pl-PL"/>
              </w:rPr>
              <w:t xml:space="preserve"> </w:t>
            </w:r>
          </w:p>
          <w:p w:rsidR="00EE4E6E" w:rsidRPr="00EE4E6E" w:rsidRDefault="00EE4E6E" w:rsidP="00EE4E6E">
            <w:pPr>
              <w:widowControl/>
              <w:numPr>
                <w:ilvl w:val="0"/>
                <w:numId w:val="1"/>
              </w:numPr>
              <w:spacing w:line="184" w:lineRule="atLeast"/>
              <w:ind w:left="346"/>
              <w:rPr>
                <w:rFonts w:ascii="Times New Roman" w:eastAsia="Times New Roman" w:hAnsi="Times New Roman" w:cs="Times New Roman"/>
                <w:color w:val="339933"/>
                <w:sz w:val="24"/>
                <w:szCs w:val="24"/>
                <w:lang w:val="pl-PL" w:eastAsia="pl-PL"/>
              </w:rPr>
            </w:pPr>
            <w:r w:rsidRPr="00EE4E6E">
              <w:rPr>
                <w:rFonts w:ascii="Times New Roman" w:eastAsia="Times New Roman" w:hAnsi="Times New Roman" w:cs="Times New Roman"/>
                <w:color w:val="333333"/>
                <w:sz w:val="24"/>
                <w:szCs w:val="24"/>
                <w:lang w:val="pl-PL" w:eastAsia="pl-PL"/>
              </w:rPr>
              <w:t>Należy zapoznać się z procedurami postępowania w razie nagłego wypadku.</w:t>
            </w:r>
            <w:r w:rsidRPr="00EE4E6E">
              <w:rPr>
                <w:rFonts w:ascii="Times New Roman" w:eastAsia="Times New Roman" w:hAnsi="Times New Roman" w:cs="Times New Roman"/>
                <w:color w:val="339933"/>
                <w:sz w:val="24"/>
                <w:szCs w:val="24"/>
                <w:lang w:val="pl-PL" w:eastAsia="pl-PL"/>
              </w:rPr>
              <w:t xml:space="preserve"> </w:t>
            </w:r>
          </w:p>
          <w:p w:rsidR="00EE4E6E" w:rsidRPr="00EE4E6E" w:rsidRDefault="00EE4E6E" w:rsidP="00EE4E6E">
            <w:pPr>
              <w:widowControl/>
              <w:numPr>
                <w:ilvl w:val="0"/>
                <w:numId w:val="1"/>
              </w:numPr>
              <w:spacing w:line="184" w:lineRule="atLeast"/>
              <w:ind w:left="346"/>
              <w:rPr>
                <w:rFonts w:ascii="Times New Roman" w:eastAsia="Times New Roman" w:hAnsi="Times New Roman" w:cs="Times New Roman"/>
                <w:color w:val="339933"/>
                <w:sz w:val="24"/>
                <w:szCs w:val="24"/>
                <w:lang w:val="pl-PL" w:eastAsia="pl-PL"/>
              </w:rPr>
            </w:pPr>
            <w:r w:rsidRPr="00EE4E6E">
              <w:rPr>
                <w:rFonts w:ascii="Times New Roman" w:eastAsia="Times New Roman" w:hAnsi="Times New Roman" w:cs="Times New Roman"/>
                <w:color w:val="333333"/>
                <w:sz w:val="24"/>
                <w:szCs w:val="24"/>
                <w:lang w:val="pl-PL" w:eastAsia="pl-PL"/>
              </w:rPr>
              <w:t xml:space="preserve">Należy przechowywać środki ochrony roślin w szczelnie zamkniętych opakowaniach </w:t>
            </w:r>
            <w:r w:rsidRPr="00EE4E6E">
              <w:rPr>
                <w:rFonts w:ascii="Times New Roman" w:eastAsia="Times New Roman" w:hAnsi="Times New Roman" w:cs="Times New Roman"/>
                <w:color w:val="333333"/>
                <w:sz w:val="24"/>
                <w:szCs w:val="24"/>
                <w:lang w:val="pl-PL" w:eastAsia="pl-PL"/>
              </w:rPr>
              <w:br/>
              <w:t>w odpowiednio przygotowanych magazynach.</w:t>
            </w:r>
            <w:r w:rsidRPr="00EE4E6E">
              <w:rPr>
                <w:rFonts w:ascii="Times New Roman" w:eastAsia="Times New Roman" w:hAnsi="Times New Roman" w:cs="Times New Roman"/>
                <w:color w:val="339933"/>
                <w:sz w:val="24"/>
                <w:szCs w:val="24"/>
                <w:lang w:val="pl-PL" w:eastAsia="pl-PL"/>
              </w:rPr>
              <w:t xml:space="preserve"> </w:t>
            </w:r>
          </w:p>
          <w:p w:rsidR="00EE4E6E" w:rsidRPr="00EE4E6E" w:rsidRDefault="00EE4E6E" w:rsidP="00EE4E6E">
            <w:pPr>
              <w:widowControl/>
              <w:spacing w:line="184" w:lineRule="atLeast"/>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b/>
                <w:bCs/>
                <w:color w:val="666666"/>
                <w:sz w:val="24"/>
                <w:szCs w:val="24"/>
                <w:lang w:val="pl-PL" w:eastAsia="pl-PL"/>
              </w:rPr>
              <w:t>2. Wskazówki praktyczne</w:t>
            </w:r>
            <w:r w:rsidRPr="00EE4E6E">
              <w:rPr>
                <w:rFonts w:ascii="Times New Roman" w:eastAsia="Times New Roman" w:hAnsi="Times New Roman" w:cs="Times New Roman"/>
                <w:color w:val="666666"/>
                <w:sz w:val="24"/>
                <w:szCs w:val="24"/>
                <w:lang w:val="pl-PL" w:eastAsia="pl-PL"/>
              </w:rPr>
              <w:br/>
            </w:r>
            <w:r w:rsidRPr="00EE4E6E">
              <w:rPr>
                <w:rFonts w:ascii="Times New Roman" w:eastAsia="Times New Roman" w:hAnsi="Times New Roman" w:cs="Times New Roman"/>
                <w:color w:val="666666"/>
                <w:sz w:val="24"/>
                <w:szCs w:val="24"/>
                <w:lang w:val="pl-PL" w:eastAsia="pl-PL"/>
              </w:rPr>
              <w:br/>
              <w:t>Przez pojęcie „stosowanie” rozumiemy: wszystkie czynności mające miejsce od momentu otwarcia pojemnika do utylizacji pustego opakowania. Większość problemów dotyczących środków ochrony roślin jest związana ze sposobem ich stosowania. W kategoriach bezpieczeństwa dla ludzi, najbardziej niebezpieczny jest kontakt ze środkami ochrony roślin podczas przygotowania cieczy użytkowej oraz wykonywania oprysku.</w:t>
            </w:r>
            <w:r w:rsidRPr="00EE4E6E">
              <w:rPr>
                <w:rFonts w:ascii="Times New Roman" w:eastAsia="Times New Roman" w:hAnsi="Times New Roman" w:cs="Times New Roman"/>
                <w:color w:val="666666"/>
                <w:sz w:val="24"/>
                <w:szCs w:val="24"/>
                <w:lang w:val="pl-PL" w:eastAsia="pl-PL"/>
              </w:rPr>
              <w:br/>
            </w:r>
            <w:r w:rsidRPr="00EE4E6E">
              <w:rPr>
                <w:rFonts w:ascii="Times New Roman" w:eastAsia="Times New Roman" w:hAnsi="Times New Roman" w:cs="Times New Roman"/>
                <w:color w:val="666666"/>
                <w:sz w:val="24"/>
                <w:szCs w:val="24"/>
                <w:lang w:val="pl-PL" w:eastAsia="pl-PL"/>
              </w:rPr>
              <w:br/>
            </w:r>
            <w:r w:rsidRPr="00EE4E6E">
              <w:rPr>
                <w:rFonts w:ascii="Times New Roman" w:eastAsia="Times New Roman" w:hAnsi="Times New Roman" w:cs="Times New Roman"/>
                <w:b/>
                <w:bCs/>
                <w:color w:val="666666"/>
                <w:sz w:val="24"/>
                <w:szCs w:val="24"/>
                <w:lang w:val="pl-PL" w:eastAsia="pl-PL"/>
              </w:rPr>
              <w:t>Odpowiedzialność użytkowników</w:t>
            </w:r>
            <w:r w:rsidRPr="00EE4E6E">
              <w:rPr>
                <w:rFonts w:ascii="Times New Roman" w:eastAsia="Times New Roman" w:hAnsi="Times New Roman" w:cs="Times New Roman"/>
                <w:color w:val="666666"/>
                <w:sz w:val="24"/>
                <w:szCs w:val="24"/>
                <w:lang w:val="pl-PL" w:eastAsia="pl-PL"/>
              </w:rPr>
              <w:br/>
            </w:r>
            <w:r w:rsidRPr="00EE4E6E">
              <w:rPr>
                <w:rFonts w:ascii="Times New Roman" w:eastAsia="Times New Roman" w:hAnsi="Times New Roman" w:cs="Times New Roman"/>
                <w:color w:val="666666"/>
                <w:sz w:val="24"/>
                <w:szCs w:val="24"/>
                <w:lang w:val="pl-PL" w:eastAsia="pl-PL"/>
              </w:rPr>
              <w:br/>
              <w:t xml:space="preserve">Środki ochrony roślin wprowadzane są na rynek dopiero po 8-10 latach intensywnych badań. Dotyczą </w:t>
            </w:r>
            <w:hyperlink r:id="rId5" w:tooltip="Click to Continue &gt; by Giant Savings" w:history="1">
              <w:r w:rsidRPr="00EE4E6E">
                <w:rPr>
                  <w:rFonts w:ascii="Times New Roman" w:eastAsia="Times New Roman" w:hAnsi="Times New Roman" w:cs="Times New Roman"/>
                  <w:color w:val="F08D00"/>
                  <w:sz w:val="24"/>
                  <w:szCs w:val="24"/>
                  <w:u w:val="single"/>
                  <w:lang w:val="pl-PL" w:eastAsia="pl-PL"/>
                </w:rPr>
                <w:t>one</w:t>
              </w:r>
            </w:hyperlink>
            <w:r w:rsidRPr="00EE4E6E">
              <w:rPr>
                <w:rFonts w:ascii="Times New Roman" w:eastAsia="Times New Roman" w:hAnsi="Times New Roman" w:cs="Times New Roman"/>
                <w:color w:val="666666"/>
                <w:sz w:val="24"/>
                <w:szCs w:val="24"/>
                <w:lang w:val="pl-PL" w:eastAsia="pl-PL"/>
              </w:rPr>
              <w:t xml:space="preserve"> m. in. poszukiwań najlepszego sposobu stosowania danego środka tak, aby uzyskać najlepszą wydajność przy minimalnym ryzyku dla użytkowników i środowiska naturalnego. Proces dopuszczania środka ochrony roślin do obrotu i stosowania zapewnia, że wyniki takich badań są przetwarzane na jasno sformułowane zalecenia na etykiecie - instrukcji stosowania dotyczące sposobu wykorzystania danego środka w praktyce. Użytkownik odpowiada za stosowanie środka w sposób efektywny i bezpieczny, przestrzegając instrukcji oraz zasady dobrej praktyki agrotechnicznej.</w:t>
            </w:r>
            <w:r w:rsidRPr="00EE4E6E">
              <w:rPr>
                <w:rFonts w:ascii="Times New Roman" w:eastAsia="Times New Roman" w:hAnsi="Times New Roman" w:cs="Times New Roman"/>
                <w:color w:val="666666"/>
                <w:sz w:val="24"/>
                <w:szCs w:val="24"/>
                <w:lang w:val="pl-PL" w:eastAsia="pl-PL"/>
              </w:rPr>
              <w:br/>
            </w:r>
            <w:r w:rsidRPr="00EE4E6E">
              <w:rPr>
                <w:rFonts w:ascii="Times New Roman" w:eastAsia="Times New Roman" w:hAnsi="Times New Roman" w:cs="Times New Roman"/>
                <w:color w:val="666666"/>
                <w:sz w:val="24"/>
                <w:szCs w:val="24"/>
                <w:lang w:val="pl-PL" w:eastAsia="pl-PL"/>
              </w:rPr>
              <w:br/>
            </w:r>
            <w:r w:rsidRPr="00EE4E6E">
              <w:rPr>
                <w:rFonts w:ascii="Times New Roman" w:eastAsia="Times New Roman" w:hAnsi="Times New Roman" w:cs="Times New Roman"/>
                <w:b/>
                <w:bCs/>
                <w:color w:val="666666"/>
                <w:sz w:val="24"/>
                <w:szCs w:val="24"/>
                <w:lang w:val="pl-PL" w:eastAsia="pl-PL"/>
              </w:rPr>
              <w:t>Wskazówka 1</w:t>
            </w:r>
            <w:r w:rsidRPr="00EE4E6E">
              <w:rPr>
                <w:rFonts w:ascii="Times New Roman" w:eastAsia="Times New Roman" w:hAnsi="Times New Roman" w:cs="Times New Roman"/>
                <w:color w:val="666666"/>
                <w:sz w:val="24"/>
                <w:szCs w:val="24"/>
                <w:lang w:val="pl-PL" w:eastAsia="pl-PL"/>
              </w:rPr>
              <w:t>:</w:t>
            </w:r>
            <w:r w:rsidRPr="00EE4E6E">
              <w:rPr>
                <w:rFonts w:ascii="Times New Roman" w:eastAsia="Times New Roman" w:hAnsi="Times New Roman" w:cs="Times New Roman"/>
                <w:color w:val="666666"/>
                <w:sz w:val="24"/>
                <w:szCs w:val="24"/>
                <w:lang w:val="pl-PL" w:eastAsia="pl-PL"/>
              </w:rPr>
              <w:br/>
            </w:r>
            <w:r w:rsidRPr="00EE4E6E">
              <w:rPr>
                <w:rFonts w:ascii="Times New Roman" w:eastAsia="Times New Roman" w:hAnsi="Times New Roman" w:cs="Times New Roman"/>
                <w:color w:val="666666"/>
                <w:sz w:val="24"/>
                <w:szCs w:val="24"/>
                <w:lang w:val="pl-PL" w:eastAsia="pl-PL"/>
              </w:rPr>
              <w:br/>
            </w:r>
            <w:r w:rsidRPr="00EE4E6E">
              <w:rPr>
                <w:rFonts w:ascii="Times New Roman" w:eastAsia="Times New Roman" w:hAnsi="Times New Roman" w:cs="Times New Roman"/>
                <w:b/>
                <w:bCs/>
                <w:color w:val="666666"/>
                <w:sz w:val="24"/>
                <w:szCs w:val="24"/>
                <w:lang w:val="pl-PL" w:eastAsia="pl-PL"/>
              </w:rPr>
              <w:t>Należy dobrać najwłaściwszy środek w danych warunkach przyrodniczo-ekonomicznych</w:t>
            </w:r>
            <w:r w:rsidRPr="00EE4E6E">
              <w:rPr>
                <w:rFonts w:ascii="Times New Roman" w:eastAsia="Times New Roman" w:hAnsi="Times New Roman" w:cs="Times New Roman"/>
                <w:color w:val="666666"/>
                <w:sz w:val="24"/>
                <w:szCs w:val="24"/>
                <w:lang w:val="pl-PL" w:eastAsia="pl-PL"/>
              </w:rPr>
              <w:t xml:space="preserve">. </w:t>
            </w:r>
          </w:p>
          <w:p w:rsidR="00EE4E6E" w:rsidRPr="00EE4E6E" w:rsidRDefault="00EE4E6E" w:rsidP="00EE4E6E">
            <w:pPr>
              <w:widowControl/>
              <w:numPr>
                <w:ilvl w:val="0"/>
                <w:numId w:val="2"/>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Sprawdzić czy rośliny i szkodniki są na odpowiednim etapie wzrostu lub rozwoju dla danego środka. </w:t>
            </w:r>
          </w:p>
          <w:p w:rsidR="00EE4E6E" w:rsidRPr="00EE4E6E" w:rsidRDefault="00EE4E6E" w:rsidP="00EE4E6E">
            <w:pPr>
              <w:widowControl/>
              <w:numPr>
                <w:ilvl w:val="0"/>
                <w:numId w:val="2"/>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Sprawdzić oficjalne prognozy i komunikaty (na przykład dotyczące wystąpienia mszyc lub zarazy ziemniaczanej) jako pomoc przy prawidłowym ustaleniu terminu zabiegu. </w:t>
            </w:r>
          </w:p>
          <w:p w:rsidR="00EE4E6E" w:rsidRPr="00EE4E6E" w:rsidRDefault="00EE4E6E" w:rsidP="00EE4E6E">
            <w:pPr>
              <w:widowControl/>
              <w:numPr>
                <w:ilvl w:val="0"/>
                <w:numId w:val="2"/>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Ponownie zapoznać się z etykietą danego środka i wszelkimi innymi wskazówkami (na przykład dostarczanymi przez doradcę, konsultanta lub producenta). </w:t>
            </w:r>
          </w:p>
          <w:p w:rsidR="00EE4E6E" w:rsidRPr="00EE4E6E" w:rsidRDefault="00EE4E6E" w:rsidP="00EE4E6E">
            <w:pPr>
              <w:widowControl/>
              <w:numPr>
                <w:ilvl w:val="0"/>
                <w:numId w:val="2"/>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Sprawdzić czy gleba i warunki pogodowe są odpowiednie dla danego środka i czy takie </w:t>
            </w:r>
            <w:r w:rsidRPr="00EE4E6E">
              <w:rPr>
                <w:rFonts w:ascii="Times New Roman" w:eastAsia="Times New Roman" w:hAnsi="Times New Roman" w:cs="Times New Roman"/>
                <w:color w:val="666666"/>
                <w:sz w:val="24"/>
                <w:szCs w:val="24"/>
                <w:lang w:val="pl-PL" w:eastAsia="pl-PL"/>
              </w:rPr>
              <w:lastRenderedPageBreak/>
              <w:t xml:space="preserve">pozostaną przez okres potrzebny do zakończenia prac. Sprawdzić informacje na etykiecie dotyczące odporności na zmywanie przez deszcz. </w:t>
            </w:r>
          </w:p>
          <w:p w:rsidR="00EE4E6E" w:rsidRPr="00EE4E6E" w:rsidRDefault="00EE4E6E" w:rsidP="00EE4E6E">
            <w:pPr>
              <w:widowControl/>
              <w:numPr>
                <w:ilvl w:val="0"/>
                <w:numId w:val="2"/>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Sprawdzić czy posiada się wystarczającą ilość środka do zakończenia prac przy zastosowaniu zamierzonej dawki. </w:t>
            </w:r>
          </w:p>
          <w:p w:rsidR="00EE4E6E" w:rsidRPr="00EE4E6E" w:rsidRDefault="00EE4E6E" w:rsidP="00EE4E6E">
            <w:pPr>
              <w:widowControl/>
              <w:numPr>
                <w:ilvl w:val="0"/>
                <w:numId w:val="2"/>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Dokonywać zakupu środka w jednostkach handlowych posiadających odpowiednie zezwolenia. </w:t>
            </w:r>
          </w:p>
          <w:p w:rsidR="00EE4E6E" w:rsidRPr="00EE4E6E" w:rsidRDefault="00EE4E6E" w:rsidP="00EE4E6E">
            <w:pPr>
              <w:widowControl/>
              <w:numPr>
                <w:ilvl w:val="0"/>
                <w:numId w:val="2"/>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W razie wątpliwości dotyczących któregokolwiek z tych aspektów, zasięgnąć profesjonalnej porady. </w:t>
            </w:r>
          </w:p>
          <w:p w:rsidR="00EE4E6E" w:rsidRPr="00EE4E6E" w:rsidRDefault="00EE4E6E" w:rsidP="00EE4E6E">
            <w:pPr>
              <w:widowControl/>
              <w:spacing w:line="184" w:lineRule="atLeast"/>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b/>
                <w:bCs/>
                <w:color w:val="666666"/>
                <w:sz w:val="24"/>
                <w:szCs w:val="24"/>
                <w:lang w:val="pl-PL" w:eastAsia="pl-PL"/>
              </w:rPr>
              <w:t>Wskazówka 2</w:t>
            </w:r>
            <w:r w:rsidRPr="00EE4E6E">
              <w:rPr>
                <w:rFonts w:ascii="Times New Roman" w:eastAsia="Times New Roman" w:hAnsi="Times New Roman" w:cs="Times New Roman"/>
                <w:color w:val="666666"/>
                <w:sz w:val="24"/>
                <w:szCs w:val="24"/>
                <w:lang w:val="pl-PL" w:eastAsia="pl-PL"/>
              </w:rPr>
              <w:t>:</w:t>
            </w:r>
            <w:r w:rsidRPr="00EE4E6E">
              <w:rPr>
                <w:rFonts w:ascii="Times New Roman" w:eastAsia="Times New Roman" w:hAnsi="Times New Roman" w:cs="Times New Roman"/>
                <w:color w:val="666666"/>
                <w:sz w:val="24"/>
                <w:szCs w:val="24"/>
                <w:lang w:val="pl-PL" w:eastAsia="pl-PL"/>
              </w:rPr>
              <w:br/>
            </w:r>
            <w:r w:rsidRPr="00EE4E6E">
              <w:rPr>
                <w:rFonts w:ascii="Times New Roman" w:eastAsia="Times New Roman" w:hAnsi="Times New Roman" w:cs="Times New Roman"/>
                <w:color w:val="666666"/>
                <w:sz w:val="24"/>
                <w:szCs w:val="24"/>
                <w:lang w:val="pl-PL" w:eastAsia="pl-PL"/>
              </w:rPr>
              <w:br/>
              <w:t xml:space="preserve">Należy użyć takiej metody stosowania, która pozwoli na uzyskanie najlepszej skuteczności środka </w:t>
            </w:r>
            <w:r w:rsidRPr="00EE4E6E">
              <w:rPr>
                <w:rFonts w:ascii="Times New Roman" w:eastAsia="Times New Roman" w:hAnsi="Times New Roman" w:cs="Times New Roman"/>
                <w:color w:val="666666"/>
                <w:sz w:val="24"/>
                <w:szCs w:val="24"/>
                <w:lang w:val="pl-PL" w:eastAsia="pl-PL"/>
              </w:rPr>
              <w:br/>
              <w:t>i pozwoli na naniesienie go na obszar docelowy.</w:t>
            </w:r>
            <w:r w:rsidRPr="00EE4E6E">
              <w:rPr>
                <w:rFonts w:ascii="Times New Roman" w:eastAsia="Times New Roman" w:hAnsi="Times New Roman" w:cs="Times New Roman"/>
                <w:color w:val="666666"/>
                <w:sz w:val="24"/>
                <w:szCs w:val="24"/>
                <w:lang w:val="pl-PL" w:eastAsia="pl-PL"/>
              </w:rPr>
              <w:br/>
            </w:r>
            <w:r w:rsidRPr="00EE4E6E">
              <w:rPr>
                <w:rFonts w:ascii="Times New Roman" w:eastAsia="Times New Roman" w:hAnsi="Times New Roman" w:cs="Times New Roman"/>
                <w:color w:val="666666"/>
                <w:sz w:val="24"/>
                <w:szCs w:val="24"/>
                <w:lang w:val="pl-PL" w:eastAsia="pl-PL"/>
              </w:rPr>
              <w:br/>
              <w:t>Celem powinno być użycie sprzętu i metody, które minimalizują zagrożenia dla osób obsługujących, osób znajdujących się w pobliżu i środowiska naturalnego, oraz które umożliwią maksymalną skuteczność działania środka.</w:t>
            </w:r>
            <w:r w:rsidRPr="00EE4E6E">
              <w:rPr>
                <w:rFonts w:ascii="Times New Roman" w:eastAsia="Times New Roman" w:hAnsi="Times New Roman" w:cs="Times New Roman"/>
                <w:color w:val="666666"/>
                <w:sz w:val="24"/>
                <w:szCs w:val="24"/>
                <w:lang w:val="pl-PL" w:eastAsia="pl-PL"/>
              </w:rPr>
              <w:br/>
            </w:r>
            <w:r w:rsidRPr="00EE4E6E">
              <w:rPr>
                <w:rFonts w:ascii="Times New Roman" w:eastAsia="Times New Roman" w:hAnsi="Times New Roman" w:cs="Times New Roman"/>
                <w:color w:val="666666"/>
                <w:sz w:val="24"/>
                <w:szCs w:val="24"/>
                <w:lang w:val="pl-PL" w:eastAsia="pl-PL"/>
              </w:rPr>
              <w:br/>
            </w:r>
            <w:r w:rsidRPr="00EE4E6E">
              <w:rPr>
                <w:rFonts w:ascii="Times New Roman" w:eastAsia="Times New Roman" w:hAnsi="Times New Roman" w:cs="Times New Roman"/>
                <w:b/>
                <w:bCs/>
                <w:color w:val="666666"/>
                <w:sz w:val="24"/>
                <w:szCs w:val="24"/>
                <w:lang w:val="pl-PL" w:eastAsia="pl-PL"/>
              </w:rPr>
              <w:t>Optymalizacja działania opryskiwaczy polowych</w:t>
            </w:r>
            <w:r w:rsidRPr="00EE4E6E">
              <w:rPr>
                <w:rFonts w:ascii="Times New Roman" w:eastAsia="Times New Roman" w:hAnsi="Times New Roman" w:cs="Times New Roman"/>
                <w:color w:val="666666"/>
                <w:sz w:val="24"/>
                <w:szCs w:val="24"/>
                <w:lang w:val="pl-PL" w:eastAsia="pl-PL"/>
              </w:rPr>
              <w:br/>
            </w:r>
            <w:r w:rsidRPr="00EE4E6E">
              <w:rPr>
                <w:rFonts w:ascii="Times New Roman" w:eastAsia="Times New Roman" w:hAnsi="Times New Roman" w:cs="Times New Roman"/>
                <w:color w:val="666666"/>
                <w:sz w:val="24"/>
                <w:szCs w:val="24"/>
                <w:lang w:val="pl-PL" w:eastAsia="pl-PL"/>
              </w:rPr>
              <w:br/>
              <w:t>Kluczowymi czynnikami mającymi wpływ na skuteczność środków ochrony roślin służących do opryskiwania są:</w:t>
            </w:r>
          </w:p>
          <w:p w:rsidR="00EE4E6E" w:rsidRPr="00EE4E6E" w:rsidRDefault="00EE4E6E" w:rsidP="00EE4E6E">
            <w:pPr>
              <w:widowControl/>
              <w:numPr>
                <w:ilvl w:val="0"/>
                <w:numId w:val="3"/>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faktycznie zastosowana dawka (regulowana poprzez dokładną kalibrację opryskiwacza) </w:t>
            </w:r>
          </w:p>
          <w:p w:rsidR="00EE4E6E" w:rsidRPr="00EE4E6E" w:rsidRDefault="00EE4E6E" w:rsidP="00EE4E6E">
            <w:pPr>
              <w:widowControl/>
              <w:numPr>
                <w:ilvl w:val="0"/>
                <w:numId w:val="3"/>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jakość oprysku (regulowana poprzez dobór odpowiedniej dyszy i ciśnienia) </w:t>
            </w:r>
          </w:p>
          <w:p w:rsidR="00EE4E6E" w:rsidRPr="00EE4E6E" w:rsidRDefault="00EE4E6E" w:rsidP="00EE4E6E">
            <w:pPr>
              <w:widowControl/>
              <w:numPr>
                <w:ilvl w:val="0"/>
                <w:numId w:val="3"/>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pokrycie opryskiem (regulowane poprzez wysokość belki opryskiwacza), informacje dotyczące wyboru odpowiedniego typu dysz, z czym wiąże się jakość oprysku i wydajność środka, są dostępne w licznych publikacjach lub u wyspecjalizowanych doradców.</w:t>
            </w:r>
            <w:r w:rsidRPr="00EE4E6E">
              <w:rPr>
                <w:rFonts w:ascii="Times New Roman" w:eastAsia="Times New Roman" w:hAnsi="Times New Roman" w:cs="Times New Roman"/>
                <w:color w:val="666666"/>
                <w:sz w:val="24"/>
                <w:szCs w:val="24"/>
                <w:lang w:val="pl-PL" w:eastAsia="pl-PL"/>
              </w:rPr>
              <w:br/>
            </w:r>
            <w:r w:rsidRPr="00EE4E6E">
              <w:rPr>
                <w:rFonts w:ascii="Times New Roman" w:eastAsia="Times New Roman" w:hAnsi="Times New Roman" w:cs="Times New Roman"/>
                <w:color w:val="666666"/>
                <w:sz w:val="24"/>
                <w:szCs w:val="24"/>
                <w:lang w:val="pl-PL" w:eastAsia="pl-PL"/>
              </w:rPr>
              <w:br/>
            </w:r>
            <w:r w:rsidRPr="00EE4E6E">
              <w:rPr>
                <w:rFonts w:ascii="Times New Roman" w:eastAsia="Times New Roman" w:hAnsi="Times New Roman" w:cs="Times New Roman"/>
                <w:b/>
                <w:bCs/>
                <w:color w:val="666666"/>
                <w:sz w:val="24"/>
                <w:szCs w:val="24"/>
                <w:lang w:val="pl-PL" w:eastAsia="pl-PL"/>
              </w:rPr>
              <w:t>Przeciwdziałanie znoszeniu cieczy użytkowej</w:t>
            </w:r>
            <w:r w:rsidRPr="00EE4E6E">
              <w:rPr>
                <w:rFonts w:ascii="Times New Roman" w:eastAsia="Times New Roman" w:hAnsi="Times New Roman" w:cs="Times New Roman"/>
                <w:color w:val="666666"/>
                <w:sz w:val="24"/>
                <w:szCs w:val="24"/>
                <w:lang w:val="pl-PL" w:eastAsia="pl-PL"/>
              </w:rPr>
              <w:br/>
            </w:r>
            <w:r w:rsidRPr="00EE4E6E">
              <w:rPr>
                <w:rFonts w:ascii="Times New Roman" w:eastAsia="Times New Roman" w:hAnsi="Times New Roman" w:cs="Times New Roman"/>
                <w:color w:val="666666"/>
                <w:sz w:val="24"/>
                <w:szCs w:val="24"/>
                <w:lang w:val="pl-PL" w:eastAsia="pl-PL"/>
              </w:rPr>
              <w:br/>
              <w:t xml:space="preserve">Znoszenie cieczy jest najbardziej powszechnym błędem w czasie stosowania. Oprysk może zniszczyć przyległe uprawy; może zaszkodzić faunie i zniszczyć środowisko naturalne, a zwłaszcza zanieczyścić wodę. W konsekwencji może to prowadzić do roszczeń prawnych wnoszonych przez poszkodowane strony. </w:t>
            </w:r>
          </w:p>
          <w:p w:rsidR="00EE4E6E" w:rsidRPr="00EE4E6E" w:rsidRDefault="00EE4E6E" w:rsidP="00EE4E6E">
            <w:pPr>
              <w:widowControl/>
              <w:spacing w:line="184" w:lineRule="atLeast"/>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Znoszenie cieczy użytkowej jest wynikiem kilku współzależnych czynników: </w:t>
            </w:r>
          </w:p>
          <w:p w:rsidR="00EE4E6E" w:rsidRPr="00EE4E6E" w:rsidRDefault="00EE4E6E" w:rsidP="00EE4E6E">
            <w:pPr>
              <w:widowControl/>
              <w:numPr>
                <w:ilvl w:val="0"/>
                <w:numId w:val="4"/>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wielkości kropel </w:t>
            </w:r>
          </w:p>
          <w:p w:rsidR="00EE4E6E" w:rsidRPr="00EE4E6E" w:rsidRDefault="00EE4E6E" w:rsidP="00EE4E6E">
            <w:pPr>
              <w:widowControl/>
              <w:numPr>
                <w:ilvl w:val="0"/>
                <w:numId w:val="4"/>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zasięgu pracy wentylatora opryskiwacza </w:t>
            </w:r>
          </w:p>
          <w:p w:rsidR="00EE4E6E" w:rsidRPr="00EE4E6E" w:rsidRDefault="00EE4E6E" w:rsidP="00EE4E6E">
            <w:pPr>
              <w:widowControl/>
              <w:numPr>
                <w:ilvl w:val="0"/>
                <w:numId w:val="4"/>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wysokości belki polowej opryskiwacza </w:t>
            </w:r>
          </w:p>
          <w:p w:rsidR="00EE4E6E" w:rsidRPr="00EE4E6E" w:rsidRDefault="00EE4E6E" w:rsidP="00EE4E6E">
            <w:pPr>
              <w:widowControl/>
              <w:numPr>
                <w:ilvl w:val="0"/>
                <w:numId w:val="4"/>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szybkości wiatru </w:t>
            </w:r>
          </w:p>
          <w:p w:rsidR="00EE4E6E" w:rsidRPr="00EE4E6E" w:rsidRDefault="00EE4E6E" w:rsidP="00EE4E6E">
            <w:pPr>
              <w:widowControl/>
              <w:numPr>
                <w:ilvl w:val="0"/>
                <w:numId w:val="4"/>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szybkości przejazdu opryskiwacza. </w:t>
            </w:r>
          </w:p>
          <w:p w:rsidR="00EE4E6E" w:rsidRPr="00EE4E6E" w:rsidRDefault="00EE4E6E" w:rsidP="00EE4E6E">
            <w:pPr>
              <w:widowControl/>
              <w:spacing w:line="184" w:lineRule="atLeast"/>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Działaniami mającymi na celu zminimalizowanie problemów związanych ze znoszeniem są: </w:t>
            </w:r>
          </w:p>
          <w:p w:rsidR="00EE4E6E" w:rsidRPr="00EE4E6E" w:rsidRDefault="00EE4E6E" w:rsidP="00EE4E6E">
            <w:pPr>
              <w:widowControl/>
              <w:numPr>
                <w:ilvl w:val="0"/>
                <w:numId w:val="5"/>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śledzenie lokalnej prognozy pogody dla okresu oprysków </w:t>
            </w:r>
          </w:p>
          <w:p w:rsidR="00EE4E6E" w:rsidRPr="00EE4E6E" w:rsidRDefault="00EE4E6E" w:rsidP="00EE4E6E">
            <w:pPr>
              <w:widowControl/>
              <w:numPr>
                <w:ilvl w:val="0"/>
                <w:numId w:val="5"/>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umieszczenie wiatromierza na traktorze i sprawdzanie szybkości i </w:t>
            </w:r>
            <w:proofErr w:type="spellStart"/>
            <w:r w:rsidRPr="00EE4E6E">
              <w:rPr>
                <w:rFonts w:ascii="Times New Roman" w:eastAsia="Times New Roman" w:hAnsi="Times New Roman" w:cs="Times New Roman"/>
                <w:color w:val="666666"/>
                <w:sz w:val="24"/>
                <w:szCs w:val="24"/>
                <w:lang w:val="pl-PL" w:eastAsia="pl-PL"/>
              </w:rPr>
              <w:t>kieruneku</w:t>
            </w:r>
            <w:proofErr w:type="spellEnd"/>
            <w:r w:rsidRPr="00EE4E6E">
              <w:rPr>
                <w:rFonts w:ascii="Times New Roman" w:eastAsia="Times New Roman" w:hAnsi="Times New Roman" w:cs="Times New Roman"/>
                <w:color w:val="666666"/>
                <w:sz w:val="24"/>
                <w:szCs w:val="24"/>
                <w:lang w:val="pl-PL" w:eastAsia="pl-PL"/>
              </w:rPr>
              <w:t xml:space="preserve"> wiatru, jeżeli warunki pogodowe ulegną pogorszeniu należy przerwać opryskiwanie </w:t>
            </w:r>
          </w:p>
          <w:p w:rsidR="00EE4E6E" w:rsidRPr="00EE4E6E" w:rsidRDefault="00EE4E6E" w:rsidP="00EE4E6E">
            <w:pPr>
              <w:widowControl/>
              <w:numPr>
                <w:ilvl w:val="0"/>
                <w:numId w:val="5"/>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unikanie opryskiwania w pobliżu szczególnie podatnych na zniszczenie obszarów (ogrody, szklarnie, cieki wodne), jeżeli istnieje niebezpieczeństwo zniesienia cieczy użytkowej na taki obszar </w:t>
            </w:r>
          </w:p>
          <w:p w:rsidR="00EE4E6E" w:rsidRPr="00EE4E6E" w:rsidRDefault="00EE4E6E" w:rsidP="00EE4E6E">
            <w:pPr>
              <w:widowControl/>
              <w:numPr>
                <w:ilvl w:val="0"/>
                <w:numId w:val="5"/>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dostosowanie jakości oprysku do występujących warunków </w:t>
            </w:r>
          </w:p>
          <w:p w:rsidR="00EE4E6E" w:rsidRPr="00EE4E6E" w:rsidRDefault="00EE4E6E" w:rsidP="00EE4E6E">
            <w:pPr>
              <w:widowControl/>
              <w:numPr>
                <w:ilvl w:val="0"/>
                <w:numId w:val="5"/>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zmniejszenie ciśnienia (i prędkości, w celu utrzymania dawki) podczas opryskiwania </w:t>
            </w:r>
            <w:r w:rsidRPr="00EE4E6E">
              <w:rPr>
                <w:rFonts w:ascii="Times New Roman" w:eastAsia="Times New Roman" w:hAnsi="Times New Roman" w:cs="Times New Roman"/>
                <w:color w:val="666666"/>
                <w:sz w:val="24"/>
                <w:szCs w:val="24"/>
                <w:lang w:val="pl-PL" w:eastAsia="pl-PL"/>
              </w:rPr>
              <w:lastRenderedPageBreak/>
              <w:t xml:space="preserve">wzdłuż zagrożonych obszarów </w:t>
            </w:r>
          </w:p>
          <w:p w:rsidR="00EE4E6E" w:rsidRPr="00EE4E6E" w:rsidRDefault="00EE4E6E" w:rsidP="00EE4E6E">
            <w:pPr>
              <w:widowControl/>
              <w:numPr>
                <w:ilvl w:val="0"/>
                <w:numId w:val="5"/>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zaniechanie oprysków przy podatnych na skażenie obszarach (może być to wymóg prawny dla niektórych środków rozpylanych w pobliżu wody) </w:t>
            </w:r>
          </w:p>
          <w:p w:rsidR="00EE4E6E" w:rsidRPr="00EE4E6E" w:rsidRDefault="00EE4E6E" w:rsidP="00EE4E6E">
            <w:pPr>
              <w:widowControl/>
              <w:numPr>
                <w:ilvl w:val="0"/>
                <w:numId w:val="5"/>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wprowadzanie postępu technologicznego, który może przyczynić się do redukcji znoszenia (środki zmniejszające znoszenie, specjalne rozpylacze, </w:t>
            </w:r>
            <w:proofErr w:type="spellStart"/>
            <w:r w:rsidRPr="00EE4E6E">
              <w:rPr>
                <w:rFonts w:ascii="Times New Roman" w:eastAsia="Times New Roman" w:hAnsi="Times New Roman" w:cs="Times New Roman"/>
                <w:color w:val="666666"/>
                <w:sz w:val="24"/>
                <w:szCs w:val="24"/>
                <w:lang w:val="pl-PL" w:eastAsia="pl-PL"/>
              </w:rPr>
              <w:t>aplikatory</w:t>
            </w:r>
            <w:proofErr w:type="spellEnd"/>
            <w:r w:rsidRPr="00EE4E6E">
              <w:rPr>
                <w:rFonts w:ascii="Times New Roman" w:eastAsia="Times New Roman" w:hAnsi="Times New Roman" w:cs="Times New Roman"/>
                <w:color w:val="666666"/>
                <w:sz w:val="24"/>
                <w:szCs w:val="24"/>
                <w:lang w:val="pl-PL" w:eastAsia="pl-PL"/>
              </w:rPr>
              <w:t xml:space="preserve"> bezpośrednio wspomagane wentylatorem) </w:t>
            </w:r>
          </w:p>
          <w:p w:rsidR="00EE4E6E" w:rsidRPr="00EE4E6E" w:rsidRDefault="00EE4E6E" w:rsidP="00EE4E6E">
            <w:pPr>
              <w:widowControl/>
              <w:numPr>
                <w:ilvl w:val="0"/>
                <w:numId w:val="5"/>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zmiana metody aplikacji (przy użyciu nawadniania kropelkowego, opryskiwaczy plecakowych). </w:t>
            </w:r>
          </w:p>
          <w:p w:rsidR="00EE4E6E" w:rsidRPr="00EE4E6E" w:rsidRDefault="00EE4E6E" w:rsidP="00EE4E6E">
            <w:pPr>
              <w:widowControl/>
              <w:spacing w:line="184" w:lineRule="atLeast"/>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b/>
                <w:bCs/>
                <w:color w:val="666666"/>
                <w:sz w:val="24"/>
                <w:szCs w:val="24"/>
                <w:lang w:val="pl-PL" w:eastAsia="pl-PL"/>
              </w:rPr>
              <w:t>Użytkowanie innych metod stosowania środków ochrony roślin</w:t>
            </w:r>
            <w:r w:rsidRPr="00EE4E6E">
              <w:rPr>
                <w:rFonts w:ascii="Times New Roman" w:eastAsia="Times New Roman" w:hAnsi="Times New Roman" w:cs="Times New Roman"/>
                <w:color w:val="666666"/>
                <w:sz w:val="24"/>
                <w:szCs w:val="24"/>
                <w:lang w:val="pl-PL" w:eastAsia="pl-PL"/>
              </w:rPr>
              <w:br/>
            </w:r>
            <w:r w:rsidRPr="00EE4E6E">
              <w:rPr>
                <w:rFonts w:ascii="Times New Roman" w:eastAsia="Times New Roman" w:hAnsi="Times New Roman" w:cs="Times New Roman"/>
                <w:color w:val="666666"/>
                <w:sz w:val="24"/>
                <w:szCs w:val="24"/>
                <w:lang w:val="pl-PL" w:eastAsia="pl-PL"/>
              </w:rPr>
              <w:br/>
            </w:r>
            <w:r w:rsidRPr="00EE4E6E">
              <w:rPr>
                <w:rFonts w:ascii="Times New Roman" w:eastAsia="Times New Roman" w:hAnsi="Times New Roman" w:cs="Times New Roman"/>
                <w:b/>
                <w:bCs/>
                <w:color w:val="666666"/>
                <w:sz w:val="24"/>
                <w:szCs w:val="24"/>
                <w:lang w:val="pl-PL" w:eastAsia="pl-PL"/>
              </w:rPr>
              <w:t>Zamgławianie, aerozolowanie, gazowanie</w:t>
            </w:r>
            <w:r w:rsidRPr="00EE4E6E">
              <w:rPr>
                <w:rFonts w:ascii="Times New Roman" w:eastAsia="Times New Roman" w:hAnsi="Times New Roman" w:cs="Times New Roman"/>
                <w:color w:val="666666"/>
                <w:sz w:val="24"/>
                <w:szCs w:val="24"/>
                <w:lang w:val="pl-PL" w:eastAsia="pl-PL"/>
              </w:rPr>
              <w:t xml:space="preserve"> </w:t>
            </w:r>
          </w:p>
          <w:p w:rsidR="00EE4E6E" w:rsidRPr="00EE4E6E" w:rsidRDefault="00EE4E6E" w:rsidP="00EE4E6E">
            <w:pPr>
              <w:widowControl/>
              <w:numPr>
                <w:ilvl w:val="0"/>
                <w:numId w:val="6"/>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Umieścić wyraźne ostrzeżenia o wyłączeniu z użycia pomieszczeń w przypadku wykonania oprysków w budynku. </w:t>
            </w:r>
          </w:p>
          <w:p w:rsidR="00EE4E6E" w:rsidRPr="00EE4E6E" w:rsidRDefault="00EE4E6E" w:rsidP="00EE4E6E">
            <w:pPr>
              <w:widowControl/>
              <w:numPr>
                <w:ilvl w:val="0"/>
                <w:numId w:val="6"/>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Chronić przed dostępem osób bez odpowiedniego zabezpieczenia do momentu dostatecznego przewietrzenia budynku. </w:t>
            </w:r>
          </w:p>
          <w:p w:rsidR="00EE4E6E" w:rsidRPr="00EE4E6E" w:rsidRDefault="00EE4E6E" w:rsidP="00EE4E6E">
            <w:pPr>
              <w:widowControl/>
              <w:numPr>
                <w:ilvl w:val="0"/>
                <w:numId w:val="6"/>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Zachować szczególną ostrożność w styczności ze środkami, które wytwarzają gaz przy kontakcie z wodą. Wyłącznie profesjonaliści, specjalnie przeszkoleni w zakresie ich używania, mogą stosować takie środki (nie występują w ofercie firmy Bayer w Polsce). </w:t>
            </w:r>
          </w:p>
          <w:p w:rsidR="00EE4E6E" w:rsidRPr="00EE4E6E" w:rsidRDefault="00EE4E6E" w:rsidP="00EE4E6E">
            <w:pPr>
              <w:widowControl/>
              <w:spacing w:line="184" w:lineRule="atLeast"/>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b/>
                <w:bCs/>
                <w:color w:val="666666"/>
                <w:sz w:val="24"/>
                <w:szCs w:val="24"/>
                <w:lang w:val="pl-PL" w:eastAsia="pl-PL"/>
              </w:rPr>
              <w:t xml:space="preserve">Stosowanie środków granulowanych i przynęt </w:t>
            </w:r>
          </w:p>
          <w:p w:rsidR="00EE4E6E" w:rsidRPr="00EE4E6E" w:rsidRDefault="00EE4E6E" w:rsidP="00EE4E6E">
            <w:pPr>
              <w:widowControl/>
              <w:numPr>
                <w:ilvl w:val="0"/>
                <w:numId w:val="7"/>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Zachować szczególną ostrożność przy stosowaniu na obszarach dostępnych dla osób postronnych i zwierząt domowych. </w:t>
            </w:r>
          </w:p>
          <w:p w:rsidR="00EE4E6E" w:rsidRPr="00EE4E6E" w:rsidRDefault="00EE4E6E" w:rsidP="00EE4E6E">
            <w:pPr>
              <w:widowControl/>
              <w:numPr>
                <w:ilvl w:val="0"/>
                <w:numId w:val="7"/>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Na publicznie dostępnych obszarach umieścić odpowiednie znaki ostrzegawcze. </w:t>
            </w:r>
          </w:p>
          <w:p w:rsidR="00EE4E6E" w:rsidRPr="00EE4E6E" w:rsidRDefault="00EE4E6E" w:rsidP="00EE4E6E">
            <w:pPr>
              <w:widowControl/>
              <w:numPr>
                <w:ilvl w:val="0"/>
                <w:numId w:val="7"/>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Usunąć rozsypane przypadkowo granulki i przynęty zgodnie ze wskazówkami umieszczonymi na etykiecie, szczególnie w pomieszczeniach zamkniętych może dojść do wydzielenia niebezpiecznych oparów. </w:t>
            </w:r>
          </w:p>
          <w:p w:rsidR="00EE4E6E" w:rsidRPr="00EE4E6E" w:rsidRDefault="00EE4E6E" w:rsidP="00EE4E6E">
            <w:pPr>
              <w:widowControl/>
              <w:spacing w:line="184" w:lineRule="atLeast"/>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b/>
                <w:bCs/>
                <w:color w:val="666666"/>
                <w:sz w:val="24"/>
                <w:szCs w:val="24"/>
                <w:lang w:val="pl-PL" w:eastAsia="pl-PL"/>
              </w:rPr>
              <w:t>Zaprawianie nasion</w:t>
            </w:r>
            <w:r w:rsidRPr="00EE4E6E">
              <w:rPr>
                <w:rFonts w:ascii="Times New Roman" w:eastAsia="Times New Roman" w:hAnsi="Times New Roman" w:cs="Times New Roman"/>
                <w:color w:val="666666"/>
                <w:sz w:val="24"/>
                <w:szCs w:val="24"/>
                <w:lang w:val="pl-PL" w:eastAsia="pl-PL"/>
              </w:rPr>
              <w:t xml:space="preserve"> </w:t>
            </w:r>
          </w:p>
          <w:p w:rsidR="00EE4E6E" w:rsidRPr="00EE4E6E" w:rsidRDefault="00EE4E6E" w:rsidP="00EE4E6E">
            <w:pPr>
              <w:widowControl/>
              <w:numPr>
                <w:ilvl w:val="0"/>
                <w:numId w:val="8"/>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Precyzyjnie kalibrować i konserwować zaprawiarki. </w:t>
            </w:r>
          </w:p>
          <w:p w:rsidR="00EE4E6E" w:rsidRPr="00EE4E6E" w:rsidRDefault="00EE4E6E" w:rsidP="00EE4E6E">
            <w:pPr>
              <w:widowControl/>
              <w:numPr>
                <w:ilvl w:val="0"/>
                <w:numId w:val="8"/>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Sprawdzać stosowane dawki (pokrycie nasion środkiem). </w:t>
            </w:r>
          </w:p>
          <w:p w:rsidR="00EE4E6E" w:rsidRPr="00EE4E6E" w:rsidRDefault="00EE4E6E" w:rsidP="00EE4E6E">
            <w:pPr>
              <w:widowControl/>
              <w:numPr>
                <w:ilvl w:val="0"/>
                <w:numId w:val="8"/>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Oznaczyć zaprawione nasiona. </w:t>
            </w:r>
          </w:p>
          <w:p w:rsidR="00EE4E6E" w:rsidRPr="00EE4E6E" w:rsidRDefault="00EE4E6E" w:rsidP="00EE4E6E">
            <w:pPr>
              <w:widowControl/>
              <w:numPr>
                <w:ilvl w:val="0"/>
                <w:numId w:val="8"/>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Upewnić się, że posiane nasiona zostały odpowiednio przykryte glebą. </w:t>
            </w:r>
          </w:p>
          <w:p w:rsidR="00EE4E6E" w:rsidRPr="00EE4E6E" w:rsidRDefault="00EE4E6E" w:rsidP="00EE4E6E">
            <w:pPr>
              <w:widowControl/>
              <w:numPr>
                <w:ilvl w:val="0"/>
                <w:numId w:val="8"/>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Zwrócić szczególną uwagę podczas czyszczenia siewnika i usuwania pyłowych pozostałości ze zbiorników lub worków na nasiona. </w:t>
            </w:r>
          </w:p>
          <w:p w:rsidR="00EE4E6E" w:rsidRPr="00EE4E6E" w:rsidRDefault="00EE4E6E" w:rsidP="00EE4E6E">
            <w:pPr>
              <w:widowControl/>
              <w:numPr>
                <w:ilvl w:val="0"/>
                <w:numId w:val="8"/>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Posprzątać lub zakopać rozsypane nasiona na polu. </w:t>
            </w:r>
          </w:p>
          <w:p w:rsidR="00EE4E6E" w:rsidRPr="00EE4E6E" w:rsidRDefault="00EE4E6E" w:rsidP="00EE4E6E">
            <w:pPr>
              <w:widowControl/>
              <w:spacing w:line="184" w:lineRule="atLeast"/>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b/>
                <w:bCs/>
                <w:color w:val="666666"/>
                <w:sz w:val="24"/>
                <w:szCs w:val="24"/>
                <w:lang w:val="pl-PL" w:eastAsia="pl-PL"/>
              </w:rPr>
              <w:t xml:space="preserve">Zanurzanie i moczenie </w:t>
            </w:r>
          </w:p>
          <w:p w:rsidR="00EE4E6E" w:rsidRPr="00EE4E6E" w:rsidRDefault="00EE4E6E" w:rsidP="00EE4E6E">
            <w:pPr>
              <w:widowControl/>
              <w:numPr>
                <w:ilvl w:val="0"/>
                <w:numId w:val="9"/>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Oznaczyć rośliny poddane zabiegowi. </w:t>
            </w:r>
          </w:p>
          <w:p w:rsidR="00EE4E6E" w:rsidRPr="00EE4E6E" w:rsidRDefault="00EE4E6E" w:rsidP="00EE4E6E">
            <w:pPr>
              <w:widowControl/>
              <w:numPr>
                <w:ilvl w:val="0"/>
                <w:numId w:val="9"/>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Usunąć zużyte roztwory do zanurzania w sposób określony w etykiecie (nie wylewać ich do odpływów ani cieków wodnych). </w:t>
            </w:r>
          </w:p>
          <w:p w:rsidR="00EE4E6E" w:rsidRPr="00EE4E6E" w:rsidRDefault="00EE4E6E" w:rsidP="00EE4E6E">
            <w:pPr>
              <w:widowControl/>
              <w:spacing w:line="184" w:lineRule="atLeast"/>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b/>
                <w:bCs/>
                <w:color w:val="666666"/>
                <w:sz w:val="24"/>
                <w:szCs w:val="24"/>
                <w:lang w:val="pl-PL" w:eastAsia="pl-PL"/>
              </w:rPr>
              <w:t xml:space="preserve">Podlewanie </w:t>
            </w:r>
          </w:p>
          <w:p w:rsidR="00EE4E6E" w:rsidRPr="00EE4E6E" w:rsidRDefault="00EE4E6E" w:rsidP="00EE4E6E">
            <w:pPr>
              <w:widowControl/>
              <w:numPr>
                <w:ilvl w:val="0"/>
                <w:numId w:val="10"/>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Wykalibrować sprzęt do aplikacji, aby zapewnić zastosowanie odpowiedniej dawki. </w:t>
            </w:r>
          </w:p>
          <w:p w:rsidR="00EE4E6E" w:rsidRPr="00EE4E6E" w:rsidRDefault="00EE4E6E" w:rsidP="00EE4E6E">
            <w:pPr>
              <w:widowControl/>
              <w:numPr>
                <w:ilvl w:val="0"/>
                <w:numId w:val="10"/>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Zapewnić potrzebny przepływ wody. </w:t>
            </w:r>
          </w:p>
          <w:p w:rsidR="00EE4E6E" w:rsidRPr="00EE4E6E" w:rsidRDefault="00EE4E6E" w:rsidP="00EE4E6E">
            <w:pPr>
              <w:widowControl/>
              <w:numPr>
                <w:ilvl w:val="0"/>
                <w:numId w:val="10"/>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Dopilnować, aby ciecz użytkowa nie wylewała się i nie niszczyła obszarów innych niż obszary docelowe. </w:t>
            </w:r>
          </w:p>
          <w:p w:rsidR="00EE4E6E" w:rsidRPr="00EE4E6E" w:rsidRDefault="00EE4E6E" w:rsidP="00EE4E6E">
            <w:pPr>
              <w:widowControl/>
              <w:spacing w:line="184" w:lineRule="atLeast"/>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b/>
                <w:bCs/>
                <w:color w:val="666666"/>
                <w:sz w:val="24"/>
                <w:szCs w:val="24"/>
                <w:lang w:val="pl-PL" w:eastAsia="pl-PL"/>
              </w:rPr>
              <w:t>Wskazówka 3</w:t>
            </w:r>
            <w:r w:rsidRPr="00EE4E6E">
              <w:rPr>
                <w:rFonts w:ascii="Times New Roman" w:eastAsia="Times New Roman" w:hAnsi="Times New Roman" w:cs="Times New Roman"/>
                <w:color w:val="666666"/>
                <w:sz w:val="24"/>
                <w:szCs w:val="24"/>
                <w:lang w:val="pl-PL" w:eastAsia="pl-PL"/>
              </w:rPr>
              <w:t>:</w:t>
            </w:r>
            <w:r w:rsidRPr="00EE4E6E">
              <w:rPr>
                <w:rFonts w:ascii="Times New Roman" w:eastAsia="Times New Roman" w:hAnsi="Times New Roman" w:cs="Times New Roman"/>
                <w:color w:val="666666"/>
                <w:sz w:val="24"/>
                <w:szCs w:val="24"/>
                <w:lang w:val="pl-PL" w:eastAsia="pl-PL"/>
              </w:rPr>
              <w:br/>
            </w:r>
            <w:r w:rsidRPr="00EE4E6E">
              <w:rPr>
                <w:rFonts w:ascii="Times New Roman" w:eastAsia="Times New Roman" w:hAnsi="Times New Roman" w:cs="Times New Roman"/>
                <w:color w:val="666666"/>
                <w:sz w:val="24"/>
                <w:szCs w:val="24"/>
                <w:lang w:val="pl-PL" w:eastAsia="pl-PL"/>
              </w:rPr>
              <w:br/>
            </w:r>
            <w:r w:rsidRPr="00EE4E6E">
              <w:rPr>
                <w:rFonts w:ascii="Times New Roman" w:eastAsia="Times New Roman" w:hAnsi="Times New Roman" w:cs="Times New Roman"/>
                <w:b/>
                <w:bCs/>
                <w:color w:val="666666"/>
                <w:sz w:val="24"/>
                <w:szCs w:val="24"/>
                <w:lang w:val="pl-PL" w:eastAsia="pl-PL"/>
              </w:rPr>
              <w:t>Należy nie dopuścić do przekroczenia przez szkodniki poziomu ekonomicznej szkodliwości. Nie opóźniać zabiegu.</w:t>
            </w:r>
            <w:r w:rsidRPr="00EE4E6E">
              <w:rPr>
                <w:rFonts w:ascii="Times New Roman" w:eastAsia="Times New Roman" w:hAnsi="Times New Roman" w:cs="Times New Roman"/>
                <w:b/>
                <w:bCs/>
                <w:color w:val="666666"/>
                <w:sz w:val="24"/>
                <w:szCs w:val="24"/>
                <w:lang w:val="pl-PL" w:eastAsia="pl-PL"/>
              </w:rPr>
              <w:br/>
            </w:r>
            <w:r w:rsidRPr="00EE4E6E">
              <w:rPr>
                <w:rFonts w:ascii="Times New Roman" w:eastAsia="Times New Roman" w:hAnsi="Times New Roman" w:cs="Times New Roman"/>
                <w:color w:val="666666"/>
                <w:sz w:val="24"/>
                <w:szCs w:val="24"/>
                <w:lang w:val="pl-PL" w:eastAsia="pl-PL"/>
              </w:rPr>
              <w:br/>
              <w:t xml:space="preserve">Nowoczesne środki ochrony roślin pozwalają na osiągnięcie bardzo wysokiego poziomu skuteczności. Umożliwiają całkowite usunięcie zwalczanego patogenu, co nie jest pożądane z punktu widzenia równowagi biologicznej. Należy raczej oprzeć strategię ochrony roślin na </w:t>
            </w:r>
            <w:r w:rsidRPr="00EE4E6E">
              <w:rPr>
                <w:rFonts w:ascii="Times New Roman" w:eastAsia="Times New Roman" w:hAnsi="Times New Roman" w:cs="Times New Roman"/>
                <w:color w:val="666666"/>
                <w:sz w:val="24"/>
                <w:szCs w:val="24"/>
                <w:lang w:val="pl-PL" w:eastAsia="pl-PL"/>
              </w:rPr>
              <w:lastRenderedPageBreak/>
              <w:t>ograniczaniu populacji, niż jej eliminacji. W odniesieniu do niektórych szkodników niezbędny jest wysoki poziom zwalczania; dla innych ma to mniejsze znaczenie. Przeprowadzanie zabiegu w celu sprawienia, albo po to, by pole wyglądało na „czyste” nie jest dobrą praktyką, o ile takie działanie nie może zostać uzasadnione ekonomicznie.</w:t>
            </w:r>
            <w:r w:rsidRPr="00EE4E6E">
              <w:rPr>
                <w:rFonts w:ascii="Times New Roman" w:eastAsia="Times New Roman" w:hAnsi="Times New Roman" w:cs="Times New Roman"/>
                <w:color w:val="666666"/>
                <w:sz w:val="24"/>
                <w:szCs w:val="24"/>
                <w:lang w:val="pl-PL" w:eastAsia="pl-PL"/>
              </w:rPr>
              <w:br/>
              <w:t>Jednocześnie wczesne, zapobiegawcze stosowanie środków ochrony roślin daje możliwość zastosowania niższych dawek, przez co ogranicza ilość substancji aktywnej wnoszonej do środowiska. Stosowanie środków w sytuacji zaawansowanej epidemii jest mało efektywne biologicznie i nieopłacalne ekonomicznie.</w:t>
            </w:r>
            <w:r w:rsidRPr="00EE4E6E">
              <w:rPr>
                <w:rFonts w:ascii="Times New Roman" w:eastAsia="Times New Roman" w:hAnsi="Times New Roman" w:cs="Times New Roman"/>
                <w:color w:val="666666"/>
                <w:sz w:val="24"/>
                <w:szCs w:val="24"/>
                <w:lang w:val="pl-PL" w:eastAsia="pl-PL"/>
              </w:rPr>
              <w:br/>
            </w:r>
            <w:r w:rsidRPr="00EE4E6E">
              <w:rPr>
                <w:rFonts w:ascii="Times New Roman" w:eastAsia="Times New Roman" w:hAnsi="Times New Roman" w:cs="Times New Roman"/>
                <w:color w:val="666666"/>
                <w:sz w:val="24"/>
                <w:szCs w:val="24"/>
                <w:lang w:val="pl-PL" w:eastAsia="pl-PL"/>
              </w:rPr>
              <w:br/>
            </w:r>
            <w:r w:rsidRPr="00EE4E6E">
              <w:rPr>
                <w:rFonts w:ascii="Times New Roman" w:eastAsia="Times New Roman" w:hAnsi="Times New Roman" w:cs="Times New Roman"/>
                <w:b/>
                <w:bCs/>
                <w:color w:val="666666"/>
                <w:sz w:val="24"/>
                <w:szCs w:val="24"/>
                <w:lang w:val="pl-PL" w:eastAsia="pl-PL"/>
              </w:rPr>
              <w:t>Wskazówka 4</w:t>
            </w:r>
            <w:r w:rsidRPr="00EE4E6E">
              <w:rPr>
                <w:rFonts w:ascii="Times New Roman" w:eastAsia="Times New Roman" w:hAnsi="Times New Roman" w:cs="Times New Roman"/>
                <w:color w:val="666666"/>
                <w:sz w:val="24"/>
                <w:szCs w:val="24"/>
                <w:lang w:val="pl-PL" w:eastAsia="pl-PL"/>
              </w:rPr>
              <w:t>:</w:t>
            </w:r>
            <w:r w:rsidRPr="00EE4E6E">
              <w:rPr>
                <w:rFonts w:ascii="Times New Roman" w:eastAsia="Times New Roman" w:hAnsi="Times New Roman" w:cs="Times New Roman"/>
                <w:color w:val="666666"/>
                <w:sz w:val="24"/>
                <w:szCs w:val="24"/>
                <w:lang w:val="pl-PL" w:eastAsia="pl-PL"/>
              </w:rPr>
              <w:br/>
            </w:r>
            <w:r w:rsidRPr="00EE4E6E">
              <w:rPr>
                <w:rFonts w:ascii="Times New Roman" w:eastAsia="Times New Roman" w:hAnsi="Times New Roman" w:cs="Times New Roman"/>
                <w:color w:val="666666"/>
                <w:sz w:val="24"/>
                <w:szCs w:val="24"/>
                <w:lang w:val="pl-PL" w:eastAsia="pl-PL"/>
              </w:rPr>
              <w:br/>
              <w:t xml:space="preserve">Należy zapoznać się i zrozumieć informacje o szkodliwości umieszczone na etykiecie produktu. Uwzględnić zagrożenia i postępować w sposób chroniący stosującego, innych ludzi, faunę </w:t>
            </w:r>
            <w:r w:rsidRPr="00EE4E6E">
              <w:rPr>
                <w:rFonts w:ascii="Times New Roman" w:eastAsia="Times New Roman" w:hAnsi="Times New Roman" w:cs="Times New Roman"/>
                <w:color w:val="666666"/>
                <w:sz w:val="24"/>
                <w:szCs w:val="24"/>
                <w:lang w:val="pl-PL" w:eastAsia="pl-PL"/>
              </w:rPr>
              <w:br/>
              <w:t>i środowisko naturalne. Należy nie dopuścić do kontaktu z preparatami osób niepowołanych, zwłaszcza dzieci.</w:t>
            </w:r>
            <w:r w:rsidRPr="00EE4E6E">
              <w:rPr>
                <w:rFonts w:ascii="Times New Roman" w:eastAsia="Times New Roman" w:hAnsi="Times New Roman" w:cs="Times New Roman"/>
                <w:color w:val="666666"/>
                <w:sz w:val="24"/>
                <w:szCs w:val="24"/>
                <w:lang w:val="pl-PL" w:eastAsia="pl-PL"/>
              </w:rPr>
              <w:br/>
            </w:r>
            <w:r w:rsidRPr="00EE4E6E">
              <w:rPr>
                <w:rFonts w:ascii="Times New Roman" w:eastAsia="Times New Roman" w:hAnsi="Times New Roman" w:cs="Times New Roman"/>
                <w:color w:val="666666"/>
                <w:sz w:val="24"/>
                <w:szCs w:val="24"/>
                <w:lang w:val="pl-PL" w:eastAsia="pl-PL"/>
              </w:rPr>
              <w:br/>
              <w:t>Zabieg opryskiwania, od chwili otwarcia opakowania do momentu odstawienia opryskiwacza, wymaga zachowania zasad bezpieczeństwa. Występuje wtedy potencjalne ryzyko zabrudzenia odzieży oraz zanieczyszczenia otaczającego środowiska. Każde użycie środka ochrony roślin musi być poprzedzone uważnym przeczytaniem etykiety i widniejących tam wskazówek, co do bezpiecznego postępowania ze środkiem.</w:t>
            </w:r>
            <w:r w:rsidRPr="00EE4E6E">
              <w:rPr>
                <w:rFonts w:ascii="Times New Roman" w:eastAsia="Times New Roman" w:hAnsi="Times New Roman" w:cs="Times New Roman"/>
                <w:color w:val="666666"/>
                <w:sz w:val="24"/>
                <w:szCs w:val="24"/>
                <w:lang w:val="pl-PL" w:eastAsia="pl-PL"/>
              </w:rPr>
              <w:br/>
            </w:r>
            <w:r w:rsidRPr="00EE4E6E">
              <w:rPr>
                <w:rFonts w:ascii="Times New Roman" w:eastAsia="Times New Roman" w:hAnsi="Times New Roman" w:cs="Times New Roman"/>
                <w:color w:val="666666"/>
                <w:sz w:val="24"/>
                <w:szCs w:val="24"/>
                <w:lang w:val="pl-PL" w:eastAsia="pl-PL"/>
              </w:rPr>
              <w:br/>
            </w:r>
            <w:r w:rsidRPr="00EE4E6E">
              <w:rPr>
                <w:rFonts w:ascii="Times New Roman" w:eastAsia="Times New Roman" w:hAnsi="Times New Roman" w:cs="Times New Roman"/>
                <w:b/>
                <w:bCs/>
                <w:color w:val="666666"/>
                <w:sz w:val="24"/>
                <w:szCs w:val="24"/>
                <w:lang w:val="pl-PL" w:eastAsia="pl-PL"/>
              </w:rPr>
              <w:t>Należy:</w:t>
            </w:r>
            <w:r w:rsidRPr="00EE4E6E">
              <w:rPr>
                <w:rFonts w:ascii="Times New Roman" w:eastAsia="Times New Roman" w:hAnsi="Times New Roman" w:cs="Times New Roman"/>
                <w:color w:val="666666"/>
                <w:sz w:val="24"/>
                <w:szCs w:val="24"/>
                <w:lang w:val="pl-PL" w:eastAsia="pl-PL"/>
              </w:rPr>
              <w:t xml:space="preserve"> </w:t>
            </w:r>
          </w:p>
          <w:p w:rsidR="00EE4E6E" w:rsidRPr="00EE4E6E" w:rsidRDefault="00EE4E6E" w:rsidP="00EE4E6E">
            <w:pPr>
              <w:widowControl/>
              <w:numPr>
                <w:ilvl w:val="0"/>
                <w:numId w:val="11"/>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zapoznać się z zagrożeniami wyszczególnionymi na etykiecie środka (drażniący, toksyczny, wybuchowy), aby zapobiec zatruciom ludzi, zwierząt oraz środowiska </w:t>
            </w:r>
          </w:p>
          <w:p w:rsidR="00EE4E6E" w:rsidRPr="00EE4E6E" w:rsidRDefault="00EE4E6E" w:rsidP="00EE4E6E">
            <w:pPr>
              <w:widowControl/>
              <w:numPr>
                <w:ilvl w:val="0"/>
                <w:numId w:val="11"/>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zaniechać stosowania środków w strefie bezpośredniej ochrony źródeł i ujęć wody oraz na terenie uzdrowisk i otulin parków narodowych (jest to wymóg prawny dla większości środków ochrony roślin) </w:t>
            </w:r>
          </w:p>
          <w:p w:rsidR="00EE4E6E" w:rsidRPr="00EE4E6E" w:rsidRDefault="00EE4E6E" w:rsidP="00EE4E6E">
            <w:pPr>
              <w:widowControl/>
              <w:numPr>
                <w:ilvl w:val="0"/>
                <w:numId w:val="11"/>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unikać przebywania na terenie krótko po wykonaniu oprysku, zwrócić uwagę na prewencję dla ludzi i zwierząt określoną w etykiecie - instrukcji stosowania </w:t>
            </w:r>
          </w:p>
          <w:p w:rsidR="00EE4E6E" w:rsidRPr="00EE4E6E" w:rsidRDefault="00EE4E6E" w:rsidP="00EE4E6E">
            <w:pPr>
              <w:widowControl/>
              <w:numPr>
                <w:ilvl w:val="0"/>
                <w:numId w:val="11"/>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rozważyć, czy można zapobiec danemu zagrożeniu poprzez podjęcie dodatkowych środków ostrożności </w:t>
            </w:r>
          </w:p>
          <w:p w:rsidR="00EE4E6E" w:rsidRPr="00EE4E6E" w:rsidRDefault="00EE4E6E" w:rsidP="00EE4E6E">
            <w:pPr>
              <w:widowControl/>
              <w:numPr>
                <w:ilvl w:val="0"/>
                <w:numId w:val="11"/>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jeżeli wyeliminowanie ryzyka nie jest możliwe, zastanowić się, jak można zaradzić zagrożeniu (na przykład poprzez użycie odzieży ochronnej) </w:t>
            </w:r>
          </w:p>
          <w:p w:rsidR="00EE4E6E" w:rsidRPr="00EE4E6E" w:rsidRDefault="00EE4E6E" w:rsidP="00EE4E6E">
            <w:pPr>
              <w:widowControl/>
              <w:numPr>
                <w:ilvl w:val="0"/>
                <w:numId w:val="11"/>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upewnić się, że wszystkie zagrożone osoby wiedzą o spodziewanym ryzyku. </w:t>
            </w:r>
          </w:p>
          <w:p w:rsidR="00EE4E6E" w:rsidRPr="00EE4E6E" w:rsidRDefault="00EE4E6E" w:rsidP="00EE4E6E">
            <w:pPr>
              <w:widowControl/>
              <w:spacing w:line="184" w:lineRule="atLeast"/>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b/>
                <w:bCs/>
                <w:color w:val="666666"/>
                <w:sz w:val="24"/>
                <w:szCs w:val="24"/>
                <w:lang w:val="pl-PL" w:eastAsia="pl-PL"/>
              </w:rPr>
              <w:t>Wskazówka 5</w:t>
            </w:r>
            <w:r w:rsidRPr="00EE4E6E">
              <w:rPr>
                <w:rFonts w:ascii="Times New Roman" w:eastAsia="Times New Roman" w:hAnsi="Times New Roman" w:cs="Times New Roman"/>
                <w:color w:val="666666"/>
                <w:sz w:val="24"/>
                <w:szCs w:val="24"/>
                <w:lang w:val="pl-PL" w:eastAsia="pl-PL"/>
              </w:rPr>
              <w:t>:</w:t>
            </w:r>
            <w:r w:rsidRPr="00EE4E6E">
              <w:rPr>
                <w:rFonts w:ascii="Times New Roman" w:eastAsia="Times New Roman" w:hAnsi="Times New Roman" w:cs="Times New Roman"/>
                <w:color w:val="666666"/>
                <w:sz w:val="24"/>
                <w:szCs w:val="24"/>
                <w:lang w:val="pl-PL" w:eastAsia="pl-PL"/>
              </w:rPr>
              <w:br/>
            </w:r>
            <w:r w:rsidRPr="00EE4E6E">
              <w:rPr>
                <w:rFonts w:ascii="Times New Roman" w:eastAsia="Times New Roman" w:hAnsi="Times New Roman" w:cs="Times New Roman"/>
                <w:color w:val="666666"/>
                <w:sz w:val="24"/>
                <w:szCs w:val="24"/>
                <w:lang w:val="pl-PL" w:eastAsia="pl-PL"/>
              </w:rPr>
              <w:br/>
            </w:r>
            <w:r w:rsidRPr="00EE4E6E">
              <w:rPr>
                <w:rFonts w:ascii="Times New Roman" w:eastAsia="Times New Roman" w:hAnsi="Times New Roman" w:cs="Times New Roman"/>
                <w:b/>
                <w:bCs/>
                <w:color w:val="666666"/>
                <w:sz w:val="24"/>
                <w:szCs w:val="24"/>
                <w:lang w:val="pl-PL" w:eastAsia="pl-PL"/>
              </w:rPr>
              <w:t>Należy wiedzieć, jak postępować jeżeli dojdzie do wypadku.</w:t>
            </w:r>
            <w:r w:rsidRPr="00EE4E6E">
              <w:rPr>
                <w:rFonts w:ascii="Times New Roman" w:eastAsia="Times New Roman" w:hAnsi="Times New Roman" w:cs="Times New Roman"/>
                <w:b/>
                <w:bCs/>
                <w:color w:val="666666"/>
                <w:sz w:val="24"/>
                <w:szCs w:val="24"/>
                <w:lang w:val="pl-PL" w:eastAsia="pl-PL"/>
              </w:rPr>
              <w:br/>
            </w:r>
            <w:r w:rsidRPr="00EE4E6E">
              <w:rPr>
                <w:rFonts w:ascii="Times New Roman" w:eastAsia="Times New Roman" w:hAnsi="Times New Roman" w:cs="Times New Roman"/>
                <w:b/>
                <w:bCs/>
                <w:color w:val="666666"/>
                <w:sz w:val="24"/>
                <w:szCs w:val="24"/>
                <w:lang w:val="pl-PL" w:eastAsia="pl-PL"/>
              </w:rPr>
              <w:br/>
            </w:r>
            <w:r w:rsidRPr="00EE4E6E">
              <w:rPr>
                <w:rFonts w:ascii="Times New Roman" w:eastAsia="Times New Roman" w:hAnsi="Times New Roman" w:cs="Times New Roman"/>
                <w:color w:val="666666"/>
                <w:sz w:val="24"/>
                <w:szCs w:val="24"/>
                <w:lang w:val="pl-PL" w:eastAsia="pl-PL"/>
              </w:rPr>
              <w:t>Pracodawcy są prawnie zobowiązani do zapewnienia bezpieczeństwa w miejscu pracy oraz wydania odpowiednich uregulowań dotyczących pierwszej pomocy. Najpowszechniejszymi wypadkami jakie mają miejsce przy stosowaniu środków ochrony roślin są wycieki lub rozlanie się skoncentrowanego lub rozcieńczonego preparatu, czego skutkiem jest skażenie ludzi, żywego inwentarza czy też środowiska naturalnego. Realna jest również możliwość zatrucia osoby wykonującej zabieg środkiem ochrony roślin.</w:t>
            </w:r>
            <w:r w:rsidRPr="00EE4E6E">
              <w:rPr>
                <w:rFonts w:ascii="Times New Roman" w:eastAsia="Times New Roman" w:hAnsi="Times New Roman" w:cs="Times New Roman"/>
                <w:color w:val="666666"/>
                <w:sz w:val="24"/>
                <w:szCs w:val="24"/>
                <w:lang w:val="pl-PL" w:eastAsia="pl-PL"/>
              </w:rPr>
              <w:br/>
            </w:r>
            <w:r w:rsidRPr="00EE4E6E">
              <w:rPr>
                <w:rFonts w:ascii="Times New Roman" w:eastAsia="Times New Roman" w:hAnsi="Times New Roman" w:cs="Times New Roman"/>
                <w:color w:val="666666"/>
                <w:sz w:val="24"/>
                <w:szCs w:val="24"/>
                <w:lang w:val="pl-PL" w:eastAsia="pl-PL"/>
              </w:rPr>
              <w:br/>
            </w:r>
            <w:r w:rsidRPr="00EE4E6E">
              <w:rPr>
                <w:rFonts w:ascii="Times New Roman" w:eastAsia="Times New Roman" w:hAnsi="Times New Roman" w:cs="Times New Roman"/>
                <w:b/>
                <w:bCs/>
                <w:color w:val="666666"/>
                <w:sz w:val="24"/>
                <w:szCs w:val="24"/>
                <w:lang w:val="pl-PL" w:eastAsia="pl-PL"/>
              </w:rPr>
              <w:t>Wyciek lub rozlanie</w:t>
            </w:r>
            <w:r w:rsidRPr="00EE4E6E">
              <w:rPr>
                <w:rFonts w:ascii="Times New Roman" w:eastAsia="Times New Roman" w:hAnsi="Times New Roman" w:cs="Times New Roman"/>
                <w:b/>
                <w:bCs/>
                <w:color w:val="666666"/>
                <w:sz w:val="24"/>
                <w:szCs w:val="24"/>
                <w:lang w:val="pl-PL" w:eastAsia="pl-PL"/>
              </w:rPr>
              <w:br/>
            </w:r>
            <w:r w:rsidRPr="00EE4E6E">
              <w:rPr>
                <w:rFonts w:ascii="Times New Roman" w:eastAsia="Times New Roman" w:hAnsi="Times New Roman" w:cs="Times New Roman"/>
                <w:color w:val="666666"/>
                <w:sz w:val="24"/>
                <w:szCs w:val="24"/>
                <w:lang w:val="pl-PL" w:eastAsia="pl-PL"/>
              </w:rPr>
              <w:br/>
              <w:t xml:space="preserve">Wyciek może zdarzyć się w miejscu przechowywania środka, czemu można zaradzić, </w:t>
            </w:r>
            <w:r w:rsidRPr="00EE4E6E">
              <w:rPr>
                <w:rFonts w:ascii="Times New Roman" w:eastAsia="Times New Roman" w:hAnsi="Times New Roman" w:cs="Times New Roman"/>
                <w:color w:val="666666"/>
                <w:sz w:val="24"/>
                <w:szCs w:val="24"/>
                <w:lang w:val="pl-PL" w:eastAsia="pl-PL"/>
              </w:rPr>
              <w:lastRenderedPageBreak/>
              <w:t>stosując poniżej podane procedury. Rozlanie może nastąpić podczas napełniania opryskiwacza lub w czasie opryskiwania.</w:t>
            </w:r>
            <w:r w:rsidRPr="00EE4E6E">
              <w:rPr>
                <w:rFonts w:ascii="Times New Roman" w:eastAsia="Times New Roman" w:hAnsi="Times New Roman" w:cs="Times New Roman"/>
                <w:color w:val="666666"/>
                <w:sz w:val="24"/>
                <w:szCs w:val="24"/>
                <w:lang w:val="pl-PL" w:eastAsia="pl-PL"/>
              </w:rPr>
              <w:br/>
            </w:r>
            <w:r w:rsidRPr="00EE4E6E">
              <w:rPr>
                <w:rFonts w:ascii="Times New Roman" w:eastAsia="Times New Roman" w:hAnsi="Times New Roman" w:cs="Times New Roman"/>
                <w:color w:val="666666"/>
                <w:sz w:val="24"/>
                <w:szCs w:val="24"/>
                <w:lang w:val="pl-PL" w:eastAsia="pl-PL"/>
              </w:rPr>
              <w:br/>
            </w:r>
            <w:r w:rsidRPr="00EE4E6E">
              <w:rPr>
                <w:rFonts w:ascii="Times New Roman" w:eastAsia="Times New Roman" w:hAnsi="Times New Roman" w:cs="Times New Roman"/>
                <w:b/>
                <w:bCs/>
                <w:color w:val="666666"/>
                <w:sz w:val="24"/>
                <w:szCs w:val="24"/>
                <w:lang w:val="pl-PL" w:eastAsia="pl-PL"/>
              </w:rPr>
              <w:t xml:space="preserve">Ogólne zasady postępowania podczas wycieku (rozlania) środka: </w:t>
            </w:r>
          </w:p>
          <w:p w:rsidR="00EE4E6E" w:rsidRPr="00EE4E6E" w:rsidRDefault="00EE4E6E" w:rsidP="00EE4E6E">
            <w:pPr>
              <w:widowControl/>
              <w:numPr>
                <w:ilvl w:val="0"/>
                <w:numId w:val="12"/>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należy uniemożliwić dostęp ludziom lub zwierzętom </w:t>
            </w:r>
          </w:p>
          <w:p w:rsidR="00EE4E6E" w:rsidRPr="00EE4E6E" w:rsidRDefault="00EE4E6E" w:rsidP="00EE4E6E">
            <w:pPr>
              <w:widowControl/>
              <w:numPr>
                <w:ilvl w:val="0"/>
                <w:numId w:val="12"/>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należy samemu chronić się od skażenia, zachowując szczególną ostrożność w przypadku, gdy mamy do czynienia z koncentratami </w:t>
            </w:r>
          </w:p>
          <w:p w:rsidR="00EE4E6E" w:rsidRPr="00EE4E6E" w:rsidRDefault="00EE4E6E" w:rsidP="00EE4E6E">
            <w:pPr>
              <w:widowControl/>
              <w:numPr>
                <w:ilvl w:val="0"/>
                <w:numId w:val="12"/>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należy zabezpieczyć miejsce rozlania (zgodnie z informacjami zawartymi w etykiecie-instrukcji) </w:t>
            </w:r>
          </w:p>
          <w:p w:rsidR="00EE4E6E" w:rsidRPr="00EE4E6E" w:rsidRDefault="00EE4E6E" w:rsidP="00EE4E6E">
            <w:pPr>
              <w:widowControl/>
              <w:numPr>
                <w:ilvl w:val="0"/>
                <w:numId w:val="12"/>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należy powiadomić oficjalne władze (jeżeli rozlanie nastąpiło w miejscu publicznym lub może doprowadzić do skażenia środowiska naturalnego) </w:t>
            </w:r>
          </w:p>
          <w:p w:rsidR="00EE4E6E" w:rsidRPr="00EE4E6E" w:rsidRDefault="00EE4E6E" w:rsidP="00EE4E6E">
            <w:pPr>
              <w:widowControl/>
              <w:numPr>
                <w:ilvl w:val="0"/>
                <w:numId w:val="12"/>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należy w odpowiedni sposób usunąć cały skażony materiał. </w:t>
            </w:r>
          </w:p>
          <w:p w:rsidR="00EE4E6E" w:rsidRPr="00EE4E6E" w:rsidRDefault="00EE4E6E" w:rsidP="00EE4E6E">
            <w:pPr>
              <w:widowControl/>
              <w:spacing w:line="184" w:lineRule="atLeast"/>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b/>
                <w:bCs/>
                <w:color w:val="666666"/>
                <w:sz w:val="24"/>
                <w:szCs w:val="24"/>
                <w:lang w:val="pl-PL" w:eastAsia="pl-PL"/>
              </w:rPr>
              <w:t>Ryzyko zatrucia</w:t>
            </w:r>
            <w:r w:rsidRPr="00EE4E6E">
              <w:rPr>
                <w:rFonts w:ascii="Times New Roman" w:eastAsia="Times New Roman" w:hAnsi="Times New Roman" w:cs="Times New Roman"/>
                <w:b/>
                <w:bCs/>
                <w:color w:val="666666"/>
                <w:sz w:val="24"/>
                <w:szCs w:val="24"/>
                <w:lang w:val="pl-PL" w:eastAsia="pl-PL"/>
              </w:rPr>
              <w:br/>
            </w:r>
            <w:r w:rsidRPr="00EE4E6E">
              <w:rPr>
                <w:rFonts w:ascii="Times New Roman" w:eastAsia="Times New Roman" w:hAnsi="Times New Roman" w:cs="Times New Roman"/>
                <w:color w:val="666666"/>
                <w:sz w:val="24"/>
                <w:szCs w:val="24"/>
                <w:lang w:val="pl-PL" w:eastAsia="pl-PL"/>
              </w:rPr>
              <w:br/>
              <w:t>Największe ryzyko absorpcji środka ochrony roślin i przez to narażenie na działanie substancji znajdujących się w środku występuje podczas pracy z koncentratem. Wymaganą ochroną podczas nalewania do opryskiwacza stężonego środka jest nałożenie maski ochronnej na twarz, kombinezonu, butów ochronnych i rękawic. Podczas opryskiwania dodatkowym zagrożeniem jest przenikanie środka przez system oddechowy. Należy szczegółowo przestrzegać instrukcji znajdujących się na etykietach, dotyczących stosowania odzieży ochronnej. Podczas dokonywania zabiegu może dojść do przenikania oparów środka do wnętrza kabiny, na co należy zwracać dodatkową uwagę.</w:t>
            </w:r>
            <w:r w:rsidRPr="00EE4E6E">
              <w:rPr>
                <w:rFonts w:ascii="Times New Roman" w:eastAsia="Times New Roman" w:hAnsi="Times New Roman" w:cs="Times New Roman"/>
                <w:color w:val="666666"/>
                <w:sz w:val="24"/>
                <w:szCs w:val="24"/>
                <w:lang w:val="pl-PL" w:eastAsia="pl-PL"/>
              </w:rPr>
              <w:br/>
            </w:r>
            <w:r w:rsidRPr="00EE4E6E">
              <w:rPr>
                <w:rFonts w:ascii="Times New Roman" w:eastAsia="Times New Roman" w:hAnsi="Times New Roman" w:cs="Times New Roman"/>
                <w:color w:val="666666"/>
                <w:sz w:val="24"/>
                <w:szCs w:val="24"/>
                <w:lang w:val="pl-PL" w:eastAsia="pl-PL"/>
              </w:rPr>
              <w:br/>
            </w:r>
            <w:r w:rsidRPr="00EE4E6E">
              <w:rPr>
                <w:rFonts w:ascii="Times New Roman" w:eastAsia="Times New Roman" w:hAnsi="Times New Roman" w:cs="Times New Roman"/>
                <w:b/>
                <w:bCs/>
                <w:color w:val="666666"/>
                <w:sz w:val="24"/>
                <w:szCs w:val="24"/>
                <w:lang w:val="pl-PL" w:eastAsia="pl-PL"/>
              </w:rPr>
              <w:t>Jeżeli pojawi się ryzyko zatrucia poprzez skażenie ludzi należy:</w:t>
            </w:r>
            <w:r w:rsidRPr="00EE4E6E">
              <w:rPr>
                <w:rFonts w:ascii="Times New Roman" w:eastAsia="Times New Roman" w:hAnsi="Times New Roman" w:cs="Times New Roman"/>
                <w:color w:val="666666"/>
                <w:sz w:val="24"/>
                <w:szCs w:val="24"/>
                <w:lang w:val="pl-PL" w:eastAsia="pl-PL"/>
              </w:rPr>
              <w:t xml:space="preserve"> </w:t>
            </w:r>
          </w:p>
          <w:p w:rsidR="00EE4E6E" w:rsidRPr="00EE4E6E" w:rsidRDefault="00EE4E6E" w:rsidP="00EE4E6E">
            <w:pPr>
              <w:widowControl/>
              <w:numPr>
                <w:ilvl w:val="0"/>
                <w:numId w:val="13"/>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przerwać pracę </w:t>
            </w:r>
          </w:p>
          <w:p w:rsidR="00EE4E6E" w:rsidRPr="00EE4E6E" w:rsidRDefault="00EE4E6E" w:rsidP="00EE4E6E">
            <w:pPr>
              <w:widowControl/>
              <w:numPr>
                <w:ilvl w:val="0"/>
                <w:numId w:val="13"/>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usunąć źródło skażenia </w:t>
            </w:r>
          </w:p>
          <w:p w:rsidR="00EE4E6E" w:rsidRPr="00EE4E6E" w:rsidRDefault="00EE4E6E" w:rsidP="00EE4E6E">
            <w:pPr>
              <w:widowControl/>
              <w:numPr>
                <w:ilvl w:val="0"/>
                <w:numId w:val="13"/>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usunąć skażoną odzież </w:t>
            </w:r>
          </w:p>
          <w:p w:rsidR="00EE4E6E" w:rsidRPr="00EE4E6E" w:rsidRDefault="00EE4E6E" w:rsidP="00EE4E6E">
            <w:pPr>
              <w:widowControl/>
              <w:numPr>
                <w:ilvl w:val="0"/>
                <w:numId w:val="13"/>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umyć skażoną skórę, oczy </w:t>
            </w:r>
          </w:p>
          <w:p w:rsidR="00EE4E6E" w:rsidRPr="00EE4E6E" w:rsidRDefault="00EE4E6E" w:rsidP="00EE4E6E">
            <w:pPr>
              <w:widowControl/>
              <w:numPr>
                <w:ilvl w:val="0"/>
                <w:numId w:val="13"/>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zwrócić się o pomoc medyczną (należy zabrać ze sobą etykietę środka). </w:t>
            </w:r>
          </w:p>
          <w:p w:rsidR="00EE4E6E" w:rsidRPr="00EE4E6E" w:rsidRDefault="00EE4E6E" w:rsidP="00EE4E6E">
            <w:pPr>
              <w:widowControl/>
              <w:spacing w:line="184" w:lineRule="atLeast"/>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b/>
                <w:bCs/>
                <w:color w:val="666666"/>
                <w:sz w:val="24"/>
                <w:szCs w:val="24"/>
                <w:lang w:val="pl-PL" w:eastAsia="pl-PL"/>
              </w:rPr>
              <w:t>Zatrucie</w:t>
            </w:r>
            <w:r w:rsidRPr="00EE4E6E">
              <w:rPr>
                <w:rFonts w:ascii="Times New Roman" w:eastAsia="Times New Roman" w:hAnsi="Times New Roman" w:cs="Times New Roman"/>
                <w:b/>
                <w:bCs/>
                <w:color w:val="666666"/>
                <w:sz w:val="24"/>
                <w:szCs w:val="24"/>
                <w:lang w:val="pl-PL" w:eastAsia="pl-PL"/>
              </w:rPr>
              <w:br/>
            </w:r>
            <w:r w:rsidRPr="00EE4E6E">
              <w:rPr>
                <w:rFonts w:ascii="Times New Roman" w:eastAsia="Times New Roman" w:hAnsi="Times New Roman" w:cs="Times New Roman"/>
                <w:color w:val="666666"/>
                <w:sz w:val="24"/>
                <w:szCs w:val="24"/>
                <w:lang w:val="pl-PL" w:eastAsia="pl-PL"/>
              </w:rPr>
              <w:br/>
              <w:t>Gdy dojdzie do zatrucia, należy działać jak najszybciej i w razie potrzeby skontaktować się z ośrodkami toksykologicznymi, które wymienione są zawsze na etykiecie-instrukcji.</w:t>
            </w:r>
            <w:r w:rsidRPr="00EE4E6E">
              <w:rPr>
                <w:rFonts w:ascii="Times New Roman" w:eastAsia="Times New Roman" w:hAnsi="Times New Roman" w:cs="Times New Roman"/>
                <w:color w:val="666666"/>
                <w:sz w:val="24"/>
                <w:szCs w:val="24"/>
                <w:lang w:val="pl-PL" w:eastAsia="pl-PL"/>
              </w:rPr>
              <w:br/>
              <w:t xml:space="preserve">Etykiety środków podają precyzyjne instrukcje, jak należy postępować, lecz ogólnymi zasadami są: </w:t>
            </w:r>
          </w:p>
          <w:p w:rsidR="00EE4E6E" w:rsidRPr="00EE4E6E" w:rsidRDefault="00EE4E6E" w:rsidP="00EE4E6E">
            <w:pPr>
              <w:widowControl/>
              <w:numPr>
                <w:ilvl w:val="0"/>
                <w:numId w:val="14"/>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jeżeli poczujesz się źle, przerwij pracę i poinformuj kogoś o tym fakcie </w:t>
            </w:r>
          </w:p>
          <w:p w:rsidR="00EE4E6E" w:rsidRPr="00EE4E6E" w:rsidRDefault="00EE4E6E" w:rsidP="00EE4E6E">
            <w:pPr>
              <w:widowControl/>
              <w:numPr>
                <w:ilvl w:val="0"/>
                <w:numId w:val="14"/>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jeżeli ktoś inny poczuje się źle, natychmiast wezwij pomoc medyczną (weź ze sobą etykietę środka) </w:t>
            </w:r>
          </w:p>
          <w:p w:rsidR="00EE4E6E" w:rsidRPr="00EE4E6E" w:rsidRDefault="00EE4E6E" w:rsidP="00EE4E6E">
            <w:pPr>
              <w:widowControl/>
              <w:numPr>
                <w:ilvl w:val="0"/>
                <w:numId w:val="14"/>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zastosuj pierwszą pomoc, jeżeli jest to konieczne </w:t>
            </w:r>
          </w:p>
          <w:p w:rsidR="00EE4E6E" w:rsidRPr="00EE4E6E" w:rsidRDefault="00EE4E6E" w:rsidP="00EE4E6E">
            <w:pPr>
              <w:widowControl/>
              <w:numPr>
                <w:ilvl w:val="0"/>
                <w:numId w:val="14"/>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nie wznawiaj pracy z środkami ochrony roślin do momentu otrzymania porady od lekarza </w:t>
            </w:r>
            <w:r w:rsidRPr="00EE4E6E">
              <w:rPr>
                <w:rFonts w:ascii="Times New Roman" w:eastAsia="Times New Roman" w:hAnsi="Times New Roman" w:cs="Times New Roman"/>
                <w:color w:val="666666"/>
                <w:sz w:val="24"/>
                <w:szCs w:val="24"/>
                <w:lang w:val="pl-PL" w:eastAsia="pl-PL"/>
              </w:rPr>
              <w:br/>
              <w:t xml:space="preserve">i informacji, że jest to bezpieczne. </w:t>
            </w:r>
          </w:p>
          <w:p w:rsidR="00EE4E6E" w:rsidRPr="00EE4E6E" w:rsidRDefault="00EE4E6E" w:rsidP="00EE4E6E">
            <w:pPr>
              <w:widowControl/>
              <w:spacing w:line="184" w:lineRule="atLeast"/>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Podczas stosowania środków ochrony roślin dochodzi niekiedy do zatruć zwierząt domowych. Zagrożenie może pojawić się w przypadku złego przechowywania środków jak i niewłaściwej utylizacji opakowań.</w:t>
            </w:r>
            <w:r w:rsidRPr="00EE4E6E">
              <w:rPr>
                <w:rFonts w:ascii="Times New Roman" w:eastAsia="Times New Roman" w:hAnsi="Times New Roman" w:cs="Times New Roman"/>
                <w:color w:val="666666"/>
                <w:sz w:val="24"/>
                <w:szCs w:val="24"/>
                <w:lang w:val="pl-PL" w:eastAsia="pl-PL"/>
              </w:rPr>
              <w:br/>
            </w:r>
            <w:r w:rsidRPr="00EE4E6E">
              <w:rPr>
                <w:rFonts w:ascii="Times New Roman" w:eastAsia="Times New Roman" w:hAnsi="Times New Roman" w:cs="Times New Roman"/>
                <w:color w:val="666666"/>
                <w:sz w:val="24"/>
                <w:szCs w:val="24"/>
                <w:lang w:val="pl-PL" w:eastAsia="pl-PL"/>
              </w:rPr>
              <w:br/>
              <w:t xml:space="preserve">Procedury postępowania w przypadkach podejrzeń o zatrucie u zwierząt są następujące: </w:t>
            </w:r>
          </w:p>
          <w:p w:rsidR="00EE4E6E" w:rsidRPr="00EE4E6E" w:rsidRDefault="00EE4E6E" w:rsidP="00EE4E6E">
            <w:pPr>
              <w:widowControl/>
              <w:numPr>
                <w:ilvl w:val="0"/>
                <w:numId w:val="15"/>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odizolować zwierzę od miejsca skażenia </w:t>
            </w:r>
          </w:p>
          <w:p w:rsidR="00EE4E6E" w:rsidRPr="00EE4E6E" w:rsidRDefault="00EE4E6E" w:rsidP="00EE4E6E">
            <w:pPr>
              <w:widowControl/>
              <w:numPr>
                <w:ilvl w:val="0"/>
                <w:numId w:val="15"/>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unikać skażenia osób zaangażowanych </w:t>
            </w:r>
          </w:p>
          <w:p w:rsidR="00EE4E6E" w:rsidRPr="00EE4E6E" w:rsidRDefault="00EE4E6E" w:rsidP="00EE4E6E">
            <w:pPr>
              <w:widowControl/>
              <w:numPr>
                <w:ilvl w:val="0"/>
                <w:numId w:val="15"/>
              </w:numPr>
              <w:spacing w:line="184" w:lineRule="atLeast"/>
              <w:ind w:left="346"/>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skontaktować się z lekarzem weterynarii i dostarczyć etykietę środka. </w:t>
            </w:r>
          </w:p>
          <w:p w:rsidR="00EE4E6E" w:rsidRPr="00EE4E6E" w:rsidRDefault="00EE4E6E" w:rsidP="00EE4E6E">
            <w:pPr>
              <w:widowControl/>
              <w:spacing w:line="184" w:lineRule="atLeast"/>
              <w:rPr>
                <w:rFonts w:ascii="Times New Roman" w:eastAsia="Times New Roman" w:hAnsi="Times New Roman" w:cs="Times New Roman"/>
                <w:color w:val="666666"/>
                <w:sz w:val="24"/>
                <w:szCs w:val="24"/>
                <w:lang w:val="pl-PL" w:eastAsia="pl-PL"/>
              </w:rPr>
            </w:pPr>
            <w:r w:rsidRPr="00EE4E6E">
              <w:rPr>
                <w:rFonts w:ascii="Times New Roman" w:eastAsia="Times New Roman" w:hAnsi="Times New Roman" w:cs="Times New Roman"/>
                <w:color w:val="666666"/>
                <w:sz w:val="24"/>
                <w:szCs w:val="24"/>
                <w:lang w:val="pl-PL" w:eastAsia="pl-PL"/>
              </w:rPr>
              <w:t xml:space="preserve">Stosowanie środków ochrony roślin może nieść ze sobą pewne zagrożenie. Można je jednak </w:t>
            </w:r>
            <w:r w:rsidRPr="00EE4E6E">
              <w:rPr>
                <w:rFonts w:ascii="Times New Roman" w:eastAsia="Times New Roman" w:hAnsi="Times New Roman" w:cs="Times New Roman"/>
                <w:color w:val="666666"/>
                <w:sz w:val="24"/>
                <w:szCs w:val="24"/>
                <w:lang w:val="pl-PL" w:eastAsia="pl-PL"/>
              </w:rPr>
              <w:lastRenderedPageBreak/>
              <w:t>zminimalizować, posiadając wiedzę o środkach ochrony roślin, ich właściwościach i stosowaniu</w:t>
            </w:r>
          </w:p>
        </w:tc>
      </w:tr>
    </w:tbl>
    <w:p w:rsidR="00097A09" w:rsidRPr="00EE4E6E" w:rsidRDefault="00097A09">
      <w:pPr>
        <w:rPr>
          <w:rFonts w:ascii="Times New Roman" w:hAnsi="Times New Roman" w:cs="Times New Roman"/>
          <w:sz w:val="24"/>
          <w:szCs w:val="24"/>
          <w:lang w:val="pl-PL"/>
        </w:rPr>
      </w:pPr>
    </w:p>
    <w:sectPr w:rsidR="00097A09" w:rsidRPr="00EE4E6E" w:rsidSect="00097A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6" type="#_x0000_t75" style="width:4.05pt;height:6.9pt" o:bullet="t">
        <v:imagedata r:id="rId1" o:title="punkt"/>
      </v:shape>
    </w:pict>
  </w:numPicBullet>
  <w:numPicBullet w:numPicBulletId="1">
    <w:pict>
      <v:shape id="_x0000_i1327" type="#_x0000_t75" style="width:3in;height:3in" o:bullet="t"/>
    </w:pict>
  </w:numPicBullet>
  <w:numPicBullet w:numPicBulletId="2">
    <w:pict>
      <v:shape id="_x0000_i1328" type="#_x0000_t75" style="width:3in;height:3in" o:bullet="t"/>
    </w:pict>
  </w:numPicBullet>
  <w:numPicBullet w:numPicBulletId="3">
    <w:pict>
      <v:shape id="_x0000_i1329" type="#_x0000_t75" style="width:3in;height:3in" o:bullet="t"/>
    </w:pict>
  </w:numPicBullet>
  <w:numPicBullet w:numPicBulletId="4">
    <w:pict>
      <v:shape id="_x0000_i1330" type="#_x0000_t75" style="width:3in;height:3in" o:bullet="t"/>
    </w:pict>
  </w:numPicBullet>
  <w:numPicBullet w:numPicBulletId="5">
    <w:pict>
      <v:shape id="_x0000_i1331" type="#_x0000_t75" style="width:3in;height:3in" o:bullet="t"/>
    </w:pict>
  </w:numPicBullet>
  <w:numPicBullet w:numPicBulletId="6">
    <w:pict>
      <v:shape id="_x0000_i1332" type="#_x0000_t75" style="width:3in;height:3in" o:bullet="t"/>
    </w:pict>
  </w:numPicBullet>
  <w:numPicBullet w:numPicBulletId="7">
    <w:pict>
      <v:shape id="_x0000_i1333" type="#_x0000_t75" style="width:3in;height:3in" o:bullet="t"/>
    </w:pict>
  </w:numPicBullet>
  <w:numPicBullet w:numPicBulletId="8">
    <w:pict>
      <v:shape id="_x0000_i1334" type="#_x0000_t75" style="width:3in;height:3in" o:bullet="t"/>
    </w:pict>
  </w:numPicBullet>
  <w:numPicBullet w:numPicBulletId="9">
    <w:pict>
      <v:shape id="_x0000_i1335" type="#_x0000_t75" style="width:3in;height:3in" o:bullet="t"/>
    </w:pict>
  </w:numPicBullet>
  <w:numPicBullet w:numPicBulletId="10">
    <w:pict>
      <v:shape id="_x0000_i1336" type="#_x0000_t75" style="width:3in;height:3in" o:bullet="t"/>
    </w:pict>
  </w:numPicBullet>
  <w:numPicBullet w:numPicBulletId="11">
    <w:pict>
      <v:shape id="_x0000_i1337" type="#_x0000_t75" style="width:3in;height:3in" o:bullet="t"/>
    </w:pict>
  </w:numPicBullet>
  <w:numPicBullet w:numPicBulletId="12">
    <w:pict>
      <v:shape id="_x0000_i1338" type="#_x0000_t75" style="width:3in;height:3in" o:bullet="t"/>
    </w:pict>
  </w:numPicBullet>
  <w:numPicBullet w:numPicBulletId="13">
    <w:pict>
      <v:shape id="_x0000_i1339" type="#_x0000_t75" style="width:3in;height:3in" o:bullet="t"/>
    </w:pict>
  </w:numPicBullet>
  <w:numPicBullet w:numPicBulletId="14">
    <w:pict>
      <v:shape id="_x0000_i1340" type="#_x0000_t75" style="width:3in;height:3in" o:bullet="t"/>
    </w:pict>
  </w:numPicBullet>
  <w:numPicBullet w:numPicBulletId="15">
    <w:pict>
      <v:shape id="_x0000_i1341" type="#_x0000_t75" style="width:3in;height:3in" o:bullet="t"/>
    </w:pict>
  </w:numPicBullet>
  <w:numPicBullet w:numPicBulletId="16">
    <w:pict>
      <v:shape id="_x0000_i1342" type="#_x0000_t75" style="width:3in;height:3in" o:bullet="t"/>
    </w:pict>
  </w:numPicBullet>
  <w:numPicBullet w:numPicBulletId="17">
    <w:pict>
      <v:shape id="_x0000_i1343" type="#_x0000_t75" style="width:3in;height:3in" o:bullet="t"/>
    </w:pict>
  </w:numPicBullet>
  <w:numPicBullet w:numPicBulletId="18">
    <w:pict>
      <v:shape id="_x0000_i1344" type="#_x0000_t75" style="width:3in;height:3in" o:bullet="t"/>
    </w:pict>
  </w:numPicBullet>
  <w:numPicBullet w:numPicBulletId="19">
    <w:pict>
      <v:shape id="_x0000_i1345" type="#_x0000_t75" style="width:3in;height:3in" o:bullet="t"/>
    </w:pict>
  </w:numPicBullet>
  <w:numPicBullet w:numPicBulletId="20">
    <w:pict>
      <v:shape id="_x0000_i1346" type="#_x0000_t75" style="width:3in;height:3in" o:bullet="t"/>
    </w:pict>
  </w:numPicBullet>
  <w:numPicBullet w:numPicBulletId="21">
    <w:pict>
      <v:shape id="_x0000_i1347" type="#_x0000_t75" style="width:3in;height:3in" o:bullet="t"/>
    </w:pict>
  </w:numPicBullet>
  <w:numPicBullet w:numPicBulletId="22">
    <w:pict>
      <v:shape id="_x0000_i1348" type="#_x0000_t75" style="width:3in;height:3in" o:bullet="t"/>
    </w:pict>
  </w:numPicBullet>
  <w:numPicBullet w:numPicBulletId="23">
    <w:pict>
      <v:shape id="_x0000_i1349" type="#_x0000_t75" style="width:3in;height:3in" o:bullet="t"/>
    </w:pict>
  </w:numPicBullet>
  <w:numPicBullet w:numPicBulletId="24">
    <w:pict>
      <v:shape id="_x0000_i1350" type="#_x0000_t75" style="width:3in;height:3in" o:bullet="t"/>
    </w:pict>
  </w:numPicBullet>
  <w:numPicBullet w:numPicBulletId="25">
    <w:pict>
      <v:shape id="_x0000_i1351" type="#_x0000_t75" style="width:3in;height:3in" o:bullet="t"/>
    </w:pict>
  </w:numPicBullet>
  <w:numPicBullet w:numPicBulletId="26">
    <w:pict>
      <v:shape id="_x0000_i1352" type="#_x0000_t75" style="width:3in;height:3in" o:bullet="t"/>
    </w:pict>
  </w:numPicBullet>
  <w:numPicBullet w:numPicBulletId="27">
    <w:pict>
      <v:shape id="_x0000_i1353" type="#_x0000_t75" style="width:3in;height:3in" o:bullet="t"/>
    </w:pict>
  </w:numPicBullet>
  <w:numPicBullet w:numPicBulletId="28">
    <w:pict>
      <v:shape id="_x0000_i1354" type="#_x0000_t75" style="width:3in;height:3in" o:bullet="t"/>
    </w:pict>
  </w:numPicBullet>
  <w:numPicBullet w:numPicBulletId="29">
    <w:pict>
      <v:shape id="_x0000_i1355" type="#_x0000_t75" style="width:3in;height:3in" o:bullet="t"/>
    </w:pict>
  </w:numPicBullet>
  <w:abstractNum w:abstractNumId="0">
    <w:nsid w:val="049868EE"/>
    <w:multiLevelType w:val="multilevel"/>
    <w:tmpl w:val="78E8C5E0"/>
    <w:lvl w:ilvl="0">
      <w:start w:val="1"/>
      <w:numFmt w:val="bullet"/>
      <w:lvlText w:val=""/>
      <w:lvlPicBulletId w:val="22"/>
      <w:lvlJc w:val="left"/>
      <w:pPr>
        <w:tabs>
          <w:tab w:val="num" w:pos="720"/>
        </w:tabs>
        <w:ind w:left="720" w:hanging="360"/>
      </w:pPr>
      <w:rPr>
        <w:rFonts w:ascii="Symbol" w:hAnsi="Symbol" w:hint="default"/>
        <w:sz w:val="20"/>
      </w:rPr>
    </w:lvl>
    <w:lvl w:ilvl="1" w:tentative="1">
      <w:start w:val="1"/>
      <w:numFmt w:val="bullet"/>
      <w:lvlText w:val="o"/>
      <w:lvlPicBulletId w:val="2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B71ED"/>
    <w:multiLevelType w:val="multilevel"/>
    <w:tmpl w:val="D6CCDF0A"/>
    <w:lvl w:ilvl="0">
      <w:start w:val="1"/>
      <w:numFmt w:val="bullet"/>
      <w:lvlText w:val=""/>
      <w:lvlPicBulletId w:val="20"/>
      <w:lvlJc w:val="left"/>
      <w:pPr>
        <w:tabs>
          <w:tab w:val="num" w:pos="720"/>
        </w:tabs>
        <w:ind w:left="720" w:hanging="360"/>
      </w:pPr>
      <w:rPr>
        <w:rFonts w:ascii="Symbol" w:hAnsi="Symbol" w:hint="default"/>
        <w:sz w:val="20"/>
      </w:rPr>
    </w:lvl>
    <w:lvl w:ilvl="1" w:tentative="1">
      <w:start w:val="1"/>
      <w:numFmt w:val="bullet"/>
      <w:lvlText w:val="o"/>
      <w:lvlPicBulletId w:val="2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E49D1"/>
    <w:multiLevelType w:val="multilevel"/>
    <w:tmpl w:val="3B6E70A2"/>
    <w:lvl w:ilvl="0">
      <w:start w:val="1"/>
      <w:numFmt w:val="bullet"/>
      <w:lvlText w:val=""/>
      <w:lvlPicBulletId w:val="10"/>
      <w:lvlJc w:val="left"/>
      <w:pPr>
        <w:tabs>
          <w:tab w:val="num" w:pos="720"/>
        </w:tabs>
        <w:ind w:left="720" w:hanging="360"/>
      </w:pPr>
      <w:rPr>
        <w:rFonts w:ascii="Symbol" w:hAnsi="Symbol" w:hint="default"/>
        <w:sz w:val="20"/>
      </w:rPr>
    </w:lvl>
    <w:lvl w:ilvl="1" w:tentative="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7A3160"/>
    <w:multiLevelType w:val="multilevel"/>
    <w:tmpl w:val="BC1CF522"/>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4D5A0A"/>
    <w:multiLevelType w:val="multilevel"/>
    <w:tmpl w:val="F2D469DA"/>
    <w:lvl w:ilvl="0">
      <w:start w:val="1"/>
      <w:numFmt w:val="bullet"/>
      <w:lvlText w:val=""/>
      <w:lvlPicBulletId w:val="14"/>
      <w:lvlJc w:val="left"/>
      <w:pPr>
        <w:tabs>
          <w:tab w:val="num" w:pos="720"/>
        </w:tabs>
        <w:ind w:left="720" w:hanging="360"/>
      </w:pPr>
      <w:rPr>
        <w:rFonts w:ascii="Symbol" w:hAnsi="Symbol" w:hint="default"/>
        <w:sz w:val="20"/>
      </w:rPr>
    </w:lvl>
    <w:lvl w:ilvl="1" w:tentative="1">
      <w:start w:val="1"/>
      <w:numFmt w:val="bullet"/>
      <w:lvlText w:val="o"/>
      <w:lvlPicBulletId w:val="1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05726F"/>
    <w:multiLevelType w:val="multilevel"/>
    <w:tmpl w:val="A3EC157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107864"/>
    <w:multiLevelType w:val="multilevel"/>
    <w:tmpl w:val="DA663370"/>
    <w:lvl w:ilvl="0">
      <w:start w:val="1"/>
      <w:numFmt w:val="bullet"/>
      <w:lvlText w:val=""/>
      <w:lvlPicBulletId w:val="16"/>
      <w:lvlJc w:val="left"/>
      <w:pPr>
        <w:tabs>
          <w:tab w:val="num" w:pos="720"/>
        </w:tabs>
        <w:ind w:left="720" w:hanging="360"/>
      </w:pPr>
      <w:rPr>
        <w:rFonts w:ascii="Symbol" w:hAnsi="Symbol" w:hint="default"/>
        <w:sz w:val="20"/>
      </w:rPr>
    </w:lvl>
    <w:lvl w:ilvl="1" w:tentative="1">
      <w:start w:val="1"/>
      <w:numFmt w:val="bullet"/>
      <w:lvlText w:val="o"/>
      <w:lvlPicBulletId w:val="1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000A0B"/>
    <w:multiLevelType w:val="multilevel"/>
    <w:tmpl w:val="13003D12"/>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BF4204"/>
    <w:multiLevelType w:val="multilevel"/>
    <w:tmpl w:val="B3EC0888"/>
    <w:lvl w:ilvl="0">
      <w:start w:val="1"/>
      <w:numFmt w:val="bullet"/>
      <w:lvlText w:val=""/>
      <w:lvlPicBulletId w:val="26"/>
      <w:lvlJc w:val="left"/>
      <w:pPr>
        <w:tabs>
          <w:tab w:val="num" w:pos="720"/>
        </w:tabs>
        <w:ind w:left="720" w:hanging="360"/>
      </w:pPr>
      <w:rPr>
        <w:rFonts w:ascii="Symbol" w:hAnsi="Symbol" w:hint="default"/>
        <w:sz w:val="20"/>
      </w:rPr>
    </w:lvl>
    <w:lvl w:ilvl="1" w:tentative="1">
      <w:start w:val="1"/>
      <w:numFmt w:val="bullet"/>
      <w:lvlText w:val="o"/>
      <w:lvlPicBulletId w:val="2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0007C7"/>
    <w:multiLevelType w:val="multilevel"/>
    <w:tmpl w:val="3B664956"/>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1D439E"/>
    <w:multiLevelType w:val="multilevel"/>
    <w:tmpl w:val="7FEE34D6"/>
    <w:lvl w:ilvl="0">
      <w:start w:val="1"/>
      <w:numFmt w:val="bullet"/>
      <w:lvlText w:val=""/>
      <w:lvlPicBulletId w:val="28"/>
      <w:lvlJc w:val="left"/>
      <w:pPr>
        <w:tabs>
          <w:tab w:val="num" w:pos="720"/>
        </w:tabs>
        <w:ind w:left="720" w:hanging="360"/>
      </w:pPr>
      <w:rPr>
        <w:rFonts w:ascii="Symbol" w:hAnsi="Symbol" w:hint="default"/>
        <w:sz w:val="20"/>
      </w:rPr>
    </w:lvl>
    <w:lvl w:ilvl="1" w:tentative="1">
      <w:start w:val="1"/>
      <w:numFmt w:val="bullet"/>
      <w:lvlText w:val="o"/>
      <w:lvlPicBulletId w:val="2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463A43"/>
    <w:multiLevelType w:val="multilevel"/>
    <w:tmpl w:val="C8AE590C"/>
    <w:lvl w:ilvl="0">
      <w:start w:val="1"/>
      <w:numFmt w:val="bullet"/>
      <w:lvlText w:val=""/>
      <w:lvlPicBulletId w:val="24"/>
      <w:lvlJc w:val="left"/>
      <w:pPr>
        <w:tabs>
          <w:tab w:val="num" w:pos="720"/>
        </w:tabs>
        <w:ind w:left="720" w:hanging="360"/>
      </w:pPr>
      <w:rPr>
        <w:rFonts w:ascii="Symbol" w:hAnsi="Symbol" w:hint="default"/>
        <w:sz w:val="20"/>
      </w:rPr>
    </w:lvl>
    <w:lvl w:ilvl="1" w:tentative="1">
      <w:start w:val="1"/>
      <w:numFmt w:val="bullet"/>
      <w:lvlText w:val="o"/>
      <w:lvlPicBulletId w:val="2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2937FB"/>
    <w:multiLevelType w:val="multilevel"/>
    <w:tmpl w:val="CF0C7D0E"/>
    <w:lvl w:ilvl="0">
      <w:start w:val="1"/>
      <w:numFmt w:val="bullet"/>
      <w:lvlText w:val=""/>
      <w:lvlPicBulletId w:val="18"/>
      <w:lvlJc w:val="left"/>
      <w:pPr>
        <w:tabs>
          <w:tab w:val="num" w:pos="720"/>
        </w:tabs>
        <w:ind w:left="720" w:hanging="360"/>
      </w:pPr>
      <w:rPr>
        <w:rFonts w:ascii="Symbol" w:hAnsi="Symbol" w:hint="default"/>
        <w:sz w:val="20"/>
      </w:rPr>
    </w:lvl>
    <w:lvl w:ilvl="1" w:tentative="1">
      <w:start w:val="1"/>
      <w:numFmt w:val="bullet"/>
      <w:lvlText w:val="o"/>
      <w:lvlPicBulletId w:val="1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1D3888"/>
    <w:multiLevelType w:val="multilevel"/>
    <w:tmpl w:val="0810999A"/>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476863"/>
    <w:multiLevelType w:val="multilevel"/>
    <w:tmpl w:val="EB304F42"/>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4"/>
  </w:num>
  <w:num w:numId="4">
    <w:abstractNumId w:val="3"/>
  </w:num>
  <w:num w:numId="5">
    <w:abstractNumId w:val="13"/>
  </w:num>
  <w:num w:numId="6">
    <w:abstractNumId w:val="2"/>
  </w:num>
  <w:num w:numId="7">
    <w:abstractNumId w:val="7"/>
  </w:num>
  <w:num w:numId="8">
    <w:abstractNumId w:val="4"/>
  </w:num>
  <w:num w:numId="9">
    <w:abstractNumId w:val="6"/>
  </w:num>
  <w:num w:numId="10">
    <w:abstractNumId w:val="12"/>
  </w:num>
  <w:num w:numId="11">
    <w:abstractNumId w:val="1"/>
  </w:num>
  <w:num w:numId="12">
    <w:abstractNumId w:val="0"/>
  </w:num>
  <w:num w:numId="13">
    <w:abstractNumId w:val="11"/>
  </w:num>
  <w:num w:numId="14">
    <w:abstractNumId w:val="8"/>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E4E6E"/>
    <w:rsid w:val="00097A09"/>
    <w:rsid w:val="00422A29"/>
    <w:rsid w:val="005016C2"/>
    <w:rsid w:val="00EE4E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422A29"/>
    <w:pPr>
      <w:widowControl w:val="0"/>
      <w:spacing w:after="0" w:line="240" w:lineRule="auto"/>
    </w:pPr>
    <w:rPr>
      <w:lang w:val="en-US"/>
    </w:rPr>
  </w:style>
  <w:style w:type="paragraph" w:styleId="Nagwek1">
    <w:name w:val="heading 1"/>
    <w:basedOn w:val="Normalny"/>
    <w:link w:val="Nagwek1Znak"/>
    <w:uiPriority w:val="9"/>
    <w:qFormat/>
    <w:rsid w:val="00422A29"/>
    <w:pPr>
      <w:outlineLvl w:val="0"/>
    </w:pPr>
    <w:rPr>
      <w:rFonts w:ascii="Calibri" w:eastAsia="Calibri" w:hAnsi="Calibri"/>
      <w:b/>
      <w:bCs/>
      <w:sz w:val="32"/>
      <w:szCs w:val="32"/>
    </w:rPr>
  </w:style>
  <w:style w:type="paragraph" w:styleId="Nagwek2">
    <w:name w:val="heading 2"/>
    <w:basedOn w:val="Normalny"/>
    <w:next w:val="Normalny"/>
    <w:link w:val="Nagwek2Znak"/>
    <w:uiPriority w:val="9"/>
    <w:unhideWhenUsed/>
    <w:qFormat/>
    <w:rsid w:val="00422A29"/>
    <w:pPr>
      <w:keepNext/>
      <w:keepLines/>
      <w:spacing w:before="200"/>
      <w:outlineLvl w:val="1"/>
    </w:pPr>
    <w:rPr>
      <w:rFonts w:asciiTheme="majorHAnsi" w:eastAsiaTheme="majorEastAsia" w:hAnsiTheme="majorHAnsi" w:cstheme="majorBidi"/>
      <w:b/>
      <w:bCs/>
      <w:color w:val="4F81BD" w:themeColor="accent1"/>
      <w:sz w:val="26"/>
      <w:szCs w:val="26"/>
      <w:lang w:val="pl-PL"/>
    </w:rPr>
  </w:style>
  <w:style w:type="paragraph" w:styleId="Nagwek3">
    <w:name w:val="heading 3"/>
    <w:basedOn w:val="Normalny"/>
    <w:link w:val="Nagwek3Znak"/>
    <w:uiPriority w:val="1"/>
    <w:qFormat/>
    <w:rsid w:val="00422A29"/>
    <w:pPr>
      <w:outlineLvl w:val="2"/>
    </w:pPr>
    <w:rPr>
      <w:rFonts w:ascii="Calibri" w:eastAsia="Calibri" w:hAnsi="Calibri"/>
      <w:b/>
      <w:bCs/>
    </w:rPr>
  </w:style>
  <w:style w:type="paragraph" w:styleId="Nagwek4">
    <w:name w:val="heading 4"/>
    <w:basedOn w:val="Normalny"/>
    <w:link w:val="Nagwek4Znak"/>
    <w:uiPriority w:val="1"/>
    <w:qFormat/>
    <w:rsid w:val="00422A29"/>
    <w:pPr>
      <w:outlineLvl w:val="3"/>
    </w:pPr>
    <w:rPr>
      <w:rFonts w:ascii="Calibri" w:eastAsia="Calibri" w:hAnsi="Calibri"/>
    </w:rPr>
  </w:style>
  <w:style w:type="paragraph" w:styleId="Nagwek5">
    <w:name w:val="heading 5"/>
    <w:basedOn w:val="Normalny"/>
    <w:next w:val="Normalny"/>
    <w:link w:val="Nagwek5Znak"/>
    <w:uiPriority w:val="9"/>
    <w:unhideWhenUsed/>
    <w:qFormat/>
    <w:rsid w:val="00422A29"/>
    <w:pPr>
      <w:keepNext/>
      <w:keepLines/>
      <w:spacing w:before="200"/>
      <w:outlineLvl w:val="4"/>
    </w:pPr>
    <w:rPr>
      <w:rFonts w:asciiTheme="majorHAnsi" w:eastAsiaTheme="majorEastAsia" w:hAnsiTheme="majorHAnsi" w:cstheme="majorBidi"/>
      <w:color w:val="243F60" w:themeColor="accent1" w:themeShade="7F"/>
      <w:lang w:val="pl-PL"/>
    </w:rPr>
  </w:style>
  <w:style w:type="paragraph" w:styleId="Nagwek6">
    <w:name w:val="heading 6"/>
    <w:basedOn w:val="Normalny"/>
    <w:link w:val="Nagwek6Znak"/>
    <w:uiPriority w:val="1"/>
    <w:qFormat/>
    <w:rsid w:val="00422A29"/>
    <w:pPr>
      <w:outlineLvl w:val="5"/>
    </w:pPr>
    <w:rPr>
      <w:rFonts w:ascii="Calibri" w:eastAsia="Calibri" w:hAnsi="Calibri"/>
      <w:b/>
      <w:bCs/>
      <w:sz w:val="20"/>
      <w:szCs w:val="20"/>
    </w:rPr>
  </w:style>
  <w:style w:type="paragraph" w:styleId="Nagwek7">
    <w:name w:val="heading 7"/>
    <w:basedOn w:val="Normalny"/>
    <w:next w:val="Normalny"/>
    <w:link w:val="Nagwek7Znak"/>
    <w:uiPriority w:val="9"/>
    <w:unhideWhenUsed/>
    <w:qFormat/>
    <w:rsid w:val="00422A29"/>
    <w:pPr>
      <w:keepNext/>
      <w:keepLines/>
      <w:spacing w:before="200"/>
      <w:outlineLvl w:val="6"/>
    </w:pPr>
    <w:rPr>
      <w:rFonts w:asciiTheme="majorHAnsi" w:eastAsiaTheme="majorEastAsia" w:hAnsiTheme="majorHAnsi" w:cstheme="majorBidi"/>
      <w:i/>
      <w:iCs/>
      <w:color w:val="404040" w:themeColor="text1" w:themeTint="BF"/>
      <w:lang w:val="pl-PL"/>
    </w:rPr>
  </w:style>
  <w:style w:type="paragraph" w:styleId="Nagwek8">
    <w:name w:val="heading 8"/>
    <w:basedOn w:val="Normalny"/>
    <w:link w:val="Nagwek8Znak"/>
    <w:uiPriority w:val="1"/>
    <w:qFormat/>
    <w:rsid w:val="00422A29"/>
    <w:pPr>
      <w:outlineLvl w:val="7"/>
    </w:pPr>
    <w:rPr>
      <w:rFonts w:ascii="Calibri" w:eastAsia="Calibri" w:hAnsi="Calibri"/>
      <w:b/>
      <w:b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22A29"/>
    <w:rPr>
      <w:rFonts w:ascii="Calibri" w:eastAsia="Calibri" w:hAnsi="Calibri"/>
      <w:b/>
      <w:bCs/>
      <w:sz w:val="32"/>
      <w:szCs w:val="32"/>
      <w:lang w:val="en-US"/>
    </w:rPr>
  </w:style>
  <w:style w:type="character" w:customStyle="1" w:styleId="Nagwek2Znak">
    <w:name w:val="Nagłówek 2 Znak"/>
    <w:basedOn w:val="Domylnaczcionkaakapitu"/>
    <w:link w:val="Nagwek2"/>
    <w:uiPriority w:val="9"/>
    <w:rsid w:val="00422A2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1"/>
    <w:rsid w:val="00422A29"/>
    <w:rPr>
      <w:rFonts w:ascii="Calibri" w:eastAsia="Calibri" w:hAnsi="Calibri"/>
      <w:b/>
      <w:bCs/>
      <w:lang w:val="en-US"/>
    </w:rPr>
  </w:style>
  <w:style w:type="character" w:customStyle="1" w:styleId="Nagwek4Znak">
    <w:name w:val="Nagłówek 4 Znak"/>
    <w:basedOn w:val="Domylnaczcionkaakapitu"/>
    <w:link w:val="Nagwek4"/>
    <w:uiPriority w:val="1"/>
    <w:rsid w:val="00422A29"/>
    <w:rPr>
      <w:rFonts w:ascii="Calibri" w:eastAsia="Calibri" w:hAnsi="Calibri"/>
      <w:lang w:val="en-US"/>
    </w:rPr>
  </w:style>
  <w:style w:type="character" w:customStyle="1" w:styleId="Nagwek5Znak">
    <w:name w:val="Nagłówek 5 Znak"/>
    <w:basedOn w:val="Domylnaczcionkaakapitu"/>
    <w:link w:val="Nagwek5"/>
    <w:uiPriority w:val="9"/>
    <w:rsid w:val="00422A29"/>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1"/>
    <w:rsid w:val="00422A29"/>
    <w:rPr>
      <w:rFonts w:ascii="Calibri" w:eastAsia="Calibri" w:hAnsi="Calibri"/>
      <w:b/>
      <w:bCs/>
      <w:sz w:val="20"/>
      <w:szCs w:val="20"/>
      <w:lang w:val="en-US"/>
    </w:rPr>
  </w:style>
  <w:style w:type="character" w:customStyle="1" w:styleId="Nagwek7Znak">
    <w:name w:val="Nagłówek 7 Znak"/>
    <w:basedOn w:val="Domylnaczcionkaakapitu"/>
    <w:link w:val="Nagwek7"/>
    <w:uiPriority w:val="9"/>
    <w:rsid w:val="00422A29"/>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1"/>
    <w:rsid w:val="00422A29"/>
    <w:rPr>
      <w:rFonts w:ascii="Calibri" w:eastAsia="Calibri" w:hAnsi="Calibri"/>
      <w:b/>
      <w:bCs/>
      <w:sz w:val="18"/>
      <w:szCs w:val="18"/>
      <w:lang w:val="en-US"/>
    </w:rPr>
  </w:style>
  <w:style w:type="paragraph" w:styleId="Bezodstpw">
    <w:name w:val="No Spacing"/>
    <w:uiPriority w:val="1"/>
    <w:qFormat/>
    <w:rsid w:val="00422A29"/>
    <w:pPr>
      <w:widowControl w:val="0"/>
      <w:spacing w:after="0" w:line="240" w:lineRule="auto"/>
    </w:pPr>
    <w:rPr>
      <w:lang w:val="en-US"/>
    </w:rPr>
  </w:style>
  <w:style w:type="paragraph" w:styleId="Akapitzlist">
    <w:name w:val="List Paragraph"/>
    <w:basedOn w:val="Normalny"/>
    <w:uiPriority w:val="1"/>
    <w:qFormat/>
    <w:rsid w:val="00422A29"/>
  </w:style>
  <w:style w:type="paragraph" w:customStyle="1" w:styleId="Body">
    <w:name w:val="Body"/>
    <w:basedOn w:val="Normalny"/>
    <w:uiPriority w:val="1"/>
    <w:qFormat/>
    <w:rsid w:val="00422A29"/>
    <w:rPr>
      <w:rFonts w:ascii="Calibri" w:eastAsia="Calibri" w:hAnsi="Calibri"/>
      <w:sz w:val="18"/>
      <w:szCs w:val="18"/>
    </w:rPr>
  </w:style>
  <w:style w:type="paragraph" w:customStyle="1" w:styleId="TableParagraph">
    <w:name w:val="Table Paragraph"/>
    <w:basedOn w:val="Normalny"/>
    <w:uiPriority w:val="1"/>
    <w:qFormat/>
    <w:rsid w:val="00422A29"/>
  </w:style>
  <w:style w:type="paragraph" w:styleId="NormalnyWeb">
    <w:name w:val="Normal (Web)"/>
    <w:basedOn w:val="Normalny"/>
    <w:uiPriority w:val="99"/>
    <w:semiHidden/>
    <w:unhideWhenUsed/>
    <w:rsid w:val="00EE4E6E"/>
    <w:pPr>
      <w:widowControl/>
      <w:spacing w:line="184" w:lineRule="atLeast"/>
    </w:pPr>
    <w:rPr>
      <w:rFonts w:ascii="Verdana" w:eastAsia="Times New Roman" w:hAnsi="Verdana" w:cs="Times New Roman"/>
      <w:color w:val="666666"/>
      <w:sz w:val="13"/>
      <w:szCs w:val="13"/>
      <w:lang w:val="pl-PL" w:eastAsia="pl-PL"/>
    </w:rPr>
  </w:style>
  <w:style w:type="character" w:customStyle="1" w:styleId="tekststandard1">
    <w:name w:val="tekst_standard1"/>
    <w:basedOn w:val="Domylnaczcionkaakapitu"/>
    <w:rsid w:val="00EE4E6E"/>
    <w:rPr>
      <w:rFonts w:ascii="Arial" w:hAnsi="Arial" w:cs="Arial" w:hint="default"/>
      <w:b w:val="0"/>
      <w:bCs w:val="0"/>
      <w:color w:val="333333"/>
      <w:sz w:val="14"/>
      <w:szCs w:val="14"/>
    </w:rPr>
  </w:style>
</w:styles>
</file>

<file path=word/webSettings.xml><?xml version="1.0" encoding="utf-8"?>
<w:webSettings xmlns:r="http://schemas.openxmlformats.org/officeDocument/2006/relationships" xmlns:w="http://schemas.openxmlformats.org/wordprocessingml/2006/main">
  <w:divs>
    <w:div w:id="1000473863">
      <w:bodyDiv w:val="1"/>
      <w:marLeft w:val="0"/>
      <w:marRight w:val="0"/>
      <w:marTop w:val="0"/>
      <w:marBottom w:val="0"/>
      <w:divBdr>
        <w:top w:val="none" w:sz="0" w:space="0" w:color="auto"/>
        <w:left w:val="none" w:sz="0" w:space="0" w:color="auto"/>
        <w:bottom w:val="none" w:sz="0" w:space="0" w:color="auto"/>
        <w:right w:val="none" w:sz="0" w:space="0" w:color="auto"/>
      </w:divBdr>
      <w:divsChild>
        <w:div w:id="2122260787">
          <w:marLeft w:val="0"/>
          <w:marRight w:val="0"/>
          <w:marTop w:val="0"/>
          <w:marBottom w:val="0"/>
          <w:divBdr>
            <w:top w:val="none" w:sz="0" w:space="0" w:color="auto"/>
            <w:left w:val="single" w:sz="4" w:space="0" w:color="CCCCCC"/>
            <w:bottom w:val="single" w:sz="4" w:space="0" w:color="CCCCCC"/>
            <w:right w:val="single" w:sz="4" w:space="0" w:color="CCCCCC"/>
          </w:divBdr>
          <w:divsChild>
            <w:div w:id="1441535915">
              <w:marLeft w:val="0"/>
              <w:marRight w:val="0"/>
              <w:marTop w:val="0"/>
              <w:marBottom w:val="0"/>
              <w:divBdr>
                <w:top w:val="none" w:sz="0" w:space="0" w:color="auto"/>
                <w:left w:val="none" w:sz="0" w:space="0" w:color="auto"/>
                <w:bottom w:val="none" w:sz="0" w:space="0" w:color="auto"/>
                <w:right w:val="none" w:sz="0" w:space="0" w:color="auto"/>
              </w:divBdr>
              <w:divsChild>
                <w:div w:id="814644065">
                  <w:marLeft w:val="0"/>
                  <w:marRight w:val="0"/>
                  <w:marTop w:val="0"/>
                  <w:marBottom w:val="0"/>
                  <w:divBdr>
                    <w:top w:val="none" w:sz="0" w:space="0" w:color="auto"/>
                    <w:left w:val="none" w:sz="0" w:space="0" w:color="auto"/>
                    <w:bottom w:val="none" w:sz="0" w:space="0" w:color="auto"/>
                    <w:right w:val="none" w:sz="0" w:space="0" w:color="auto"/>
                  </w:divBdr>
                  <w:divsChild>
                    <w:div w:id="18837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yercropscience.pl/zasady-stosowania-srodkow-ochrony-roslin-35.php"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1962</Words>
  <Characters>11777</Characters>
  <Application>Microsoft Office Word</Application>
  <DocSecurity>0</DocSecurity>
  <Lines>98</Lines>
  <Paragraphs>27</Paragraphs>
  <ScaleCrop>false</ScaleCrop>
  <Company>osoba prywatna</Company>
  <LinksUpToDate>false</LinksUpToDate>
  <CharactersWithSpaces>13712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Mika</dc:creator>
  <cp:keywords/>
  <dc:description/>
  <cp:lastModifiedBy>Michał Mika</cp:lastModifiedBy>
  <cp:revision>1</cp:revision>
  <dcterms:created xsi:type="dcterms:W3CDTF">2013-03-13T14:50:00Z</dcterms:created>
  <dcterms:modified xsi:type="dcterms:W3CDTF">2013-03-13T14:51:00Z</dcterms:modified>
</cp:coreProperties>
</file>