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2" w:rsidRPr="007F1122" w:rsidRDefault="007F1122" w:rsidP="007F1122">
      <w:pPr>
        <w:widowControl/>
        <w:spacing w:line="184" w:lineRule="atLeast"/>
        <w:outlineLvl w:val="0"/>
        <w:rPr>
          <w:rFonts w:ascii="Times New Roman" w:eastAsia="Times New Roman" w:hAnsi="Times New Roman" w:cs="Times New Roman"/>
          <w:b/>
          <w:bCs/>
          <w:color w:val="F08D00"/>
          <w:kern w:val="36"/>
          <w:sz w:val="24"/>
          <w:szCs w:val="24"/>
          <w:lang w:val="pl-PL" w:eastAsia="pl-PL"/>
        </w:rPr>
      </w:pPr>
      <w:r w:rsidRPr="007F1122">
        <w:rPr>
          <w:rFonts w:ascii="Times New Roman" w:eastAsia="Times New Roman" w:hAnsi="Times New Roman" w:cs="Times New Roman"/>
          <w:b/>
          <w:bCs/>
          <w:color w:val="F08D00"/>
          <w:kern w:val="36"/>
          <w:sz w:val="24"/>
          <w:szCs w:val="24"/>
          <w:lang w:val="pl-PL" w:eastAsia="pl-PL"/>
        </w:rPr>
        <w:t>Formy użytkowe środków ochrony roślin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1122" w:rsidRPr="007F1122" w:rsidTr="007F11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</w:p>
        </w:tc>
      </w:tr>
      <w:tr w:rsidR="007F1122" w:rsidRPr="007F1122" w:rsidTr="007F1122">
        <w:trPr>
          <w:tblCellSpacing w:w="0" w:type="dxa"/>
        </w:trPr>
        <w:tc>
          <w:tcPr>
            <w:tcW w:w="0" w:type="auto"/>
            <w:hideMark/>
          </w:tcPr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</w:p>
        </w:tc>
      </w:tr>
    </w:tbl>
    <w:p w:rsidR="007F1122" w:rsidRPr="007F1122" w:rsidRDefault="007F1122" w:rsidP="007F1122">
      <w:pPr>
        <w:widowControl/>
        <w:spacing w:line="184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val="pl-PL"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1122" w:rsidRPr="007F1122" w:rsidTr="007F1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</w:p>
        </w:tc>
      </w:tr>
    </w:tbl>
    <w:p w:rsidR="007F1122" w:rsidRPr="007F1122" w:rsidRDefault="007F1122" w:rsidP="007F1122">
      <w:pPr>
        <w:widowControl/>
        <w:spacing w:line="184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val="pl-PL"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1122" w:rsidRPr="007F1122" w:rsidTr="007F1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Płyny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  <w:t xml:space="preserve">Formy użytkowe ciekłe to między innymi: koncentraty, emulsje, ciecze ULV - ultra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niskoobjętościowe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, aerozole, zawiesiny, oleje i roztwory. Najczęściej mamy do czynienia z koncentratem do sporządzania emulsji wodnej (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EC) oraz koncentratem w postaci stężonej zawiesiny (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SC).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EC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to płynna jednorodna forma użytkowa do stosowania jako emulsja. Taką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formulację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mają m. in. preparaty: </w:t>
            </w:r>
            <w:hyperlink r:id="rId5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Betanal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</w:t>
              </w:r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Elite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274 EC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i </w:t>
            </w:r>
            <w:hyperlink r:id="rId6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Falcon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460 EC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SC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jest stężoną zawiesiną cząstek w cieczy, przeznaczoną do rozcieńczania wodą. W tej postaci występują m. in. środki: </w:t>
            </w:r>
            <w:hyperlink r:id="rId7" w:history="1"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Calypso 480 SC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oraz </w:t>
            </w:r>
            <w:hyperlink r:id="rId8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Tattoo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C 750 SC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. W przypadku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SC może dojść do rozwarstwienia preparatu. Z tego względu przed przystąpieniem do sporządzania cieczy roboczej, zawartość opakowania należy dokładnie wymieszać.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SL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to koncentrat rozpuszczalny w wodzie - płynna, jednorodna forma użytkowa stosowana jako roztwór po rozcieńczeniu wodą. W postaci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SL występują m. in. preparaty: </w:t>
            </w:r>
            <w:hyperlink r:id="rId9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Confidor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200 SL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oraz </w:t>
            </w:r>
            <w:hyperlink r:id="rId10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Cerone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480 SL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OF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- to koncentrat zawiesinowy rozcieńczony olejem. Do zaprawiania nasion często używa się płynnych koncentratów o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FS.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FS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to trwała zawiesina do stosowania na nasiona bezpośrednio lub po rozcieńczeniu. W tej formie występuje większość naszych zapraw nasiennych, m. in.: </w:t>
            </w:r>
            <w:hyperlink r:id="rId11" w:history="1"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Chinook 200 FS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i </w:t>
            </w:r>
            <w:hyperlink r:id="rId12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Montur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190 FS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. 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ciekła ma wiele zalet: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1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nie pyli się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1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nie zatyka dysz ani przewodów w aparaturze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1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łatwa do przenoszenia i magazynowania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1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wymaga jedynie krótkotrwałego wymieszania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1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można stosować różnorodną aparaturę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1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cechuje ją wysoka skuteczność biologiczna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1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nie tworzą się w niej grudki czy zbrylenia. 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Do wad tej formy użytkowej należą: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2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zwiększenie ryzyka pożarów z powodu palności rozpuszczalników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2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zwiększenie ryzyka dla użytkowników poprzez silna absorpcję tego rodzaju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przez skórę (formy EC ulegają najsilniejszej absorpcji przez skórę spośród wszystkich form użytkowych)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2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istnieje ryzyko fitotoksyczności, zwłaszcza przy stosowaniu w wyższych temperaturach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2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konieczność dokładnego wymieszania zawartości opakowania (w przypadku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SC) przed użyciem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2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duża agresywność w stosunku do aparatury używanej do wykonania zabiegu (penetracja małych cząstek w przypadku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SC) 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Proszki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  <w:t xml:space="preserve">Formy użytkowe stałe to głównie proszki.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WP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to proszek ulegający dyspersji, do sporządzania zawiesiny wodnej. W tej grupie znajduje się preparat </w:t>
            </w:r>
            <w:hyperlink r:id="rId13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Bayleton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Total 37,5 WP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. Proszek rozpuszczalny w wodzie -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SP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- może zawierać nierozpuszczalne składniki obojętne. Dostępna jest również w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DS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- proszek do stosowania w stanie suchym przeznaczony do zaprawiania nasion (m.in. preparat </w:t>
            </w:r>
            <w:hyperlink r:id="rId14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Monceren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12,5 DS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). 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  <w:t xml:space="preserve">Zalety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proszkowych: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3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łatwe w stosowaniu i przechowywaniu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3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mała penetracja środka przez skórę w porównaniu z formami ciekłymi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3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lastRenderedPageBreak/>
              <w:t xml:space="preserve">mniejsze ryzyko występowania fitotoksyczności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3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niski koszt produkcji. 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Wady tych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: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4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pylenie podczas przygotowywania cieczy roboczej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4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kłopotliwe przygotowywanie cieczy roboczej, często konieczne wstępne pastowanie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4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konieczność częstego mieszania cieczy roboczej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4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możliwość zatykania dysz i przewodów. 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Granulaty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  <w:t xml:space="preserve">Formy użytkowe stałe to również granulaty. Najpopularniejsza z tej grupy jest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WG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- granulat do sporządzania zawiesiny wodnej. Taką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formulację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mają m. in. preparaty: </w:t>
            </w:r>
            <w:hyperlink r:id="rId15" w:history="1"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Huzar 05 WG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, </w:t>
            </w:r>
            <w:hyperlink r:id="rId16" w:history="1">
              <w:proofErr w:type="spellStart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Zato</w:t>
              </w:r>
              <w:proofErr w:type="spellEnd"/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 xml:space="preserve"> 50 WG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, </w:t>
            </w:r>
            <w:hyperlink r:id="rId17" w:history="1">
              <w:r w:rsidRPr="007F1122">
                <w:rPr>
                  <w:rFonts w:ascii="Times New Roman" w:eastAsia="Times New Roman" w:hAnsi="Times New Roman" w:cs="Times New Roman"/>
                  <w:color w:val="F08D00"/>
                  <w:sz w:val="24"/>
                  <w:szCs w:val="24"/>
                  <w:lang w:val="pl-PL" w:eastAsia="pl-PL"/>
                </w:rPr>
                <w:t>Atlantis 04 WG</w:t>
              </w:r>
            </w:hyperlink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pl-PL" w:eastAsia="pl-PL"/>
              </w:rPr>
              <w:t xml:space="preserve"> GR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to granule do bezpośredniego stosowania.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Formulacja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GR zawiera granule rozpuszczalne w wodzie. W jej skład mogą również wchodzić nierozpuszczalne składniki obojętne. Granulaty dzieli się w zależności od rozmiarów granul na: na granule małych rozmiarów (FG),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makrogramule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(GG) i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mikrogranule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(MG). </w:t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</w: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br/>
              <w:t xml:space="preserve">Zalety granulatów: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5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nie pylą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5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łatwe do stosowania (szczególnie GR) i magazynowania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5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najmniejsze ryzyko zatrucia dla użytkownika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5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mała penetracja środka przez skórę w porównaniu z formami ciekłymi. </w:t>
            </w:r>
          </w:p>
          <w:p w:rsidR="007F1122" w:rsidRPr="007F1122" w:rsidRDefault="007F1122" w:rsidP="007F1122">
            <w:pPr>
              <w:widowControl/>
              <w:spacing w:line="184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Wady: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6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w przypadku </w:t>
            </w:r>
            <w:proofErr w:type="spellStart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formulacji</w:t>
            </w:r>
            <w:proofErr w:type="spellEnd"/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 GR - zagrożenie dla ptaków i zwierząt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6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możliwość gorszej rozpuszczalności granulatów </w:t>
            </w:r>
          </w:p>
          <w:p w:rsidR="007F1122" w:rsidRPr="007F1122" w:rsidRDefault="007F1122" w:rsidP="007F1122">
            <w:pPr>
              <w:widowControl/>
              <w:numPr>
                <w:ilvl w:val="0"/>
                <w:numId w:val="6"/>
              </w:numPr>
              <w:spacing w:line="184" w:lineRule="atLeast"/>
              <w:ind w:left="346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7F112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 xml:space="preserve">wyższa cena. </w:t>
            </w:r>
          </w:p>
        </w:tc>
      </w:tr>
    </w:tbl>
    <w:p w:rsidR="00097A09" w:rsidRPr="007F1122" w:rsidRDefault="00097A09">
      <w:pPr>
        <w:rPr>
          <w:rFonts w:ascii="Times New Roman" w:hAnsi="Times New Roman" w:cs="Times New Roman"/>
          <w:sz w:val="24"/>
          <w:szCs w:val="24"/>
        </w:rPr>
      </w:pPr>
    </w:p>
    <w:sectPr w:rsidR="00097A09" w:rsidRPr="007F1122" w:rsidSect="0009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numPicBullet w:numPicBulletId="3">
    <w:pict>
      <v:shape id="_x0000_i1113" type="#_x0000_t75" style="width:3in;height:3in" o:bullet="t"/>
    </w:pict>
  </w:numPicBullet>
  <w:numPicBullet w:numPicBulletId="4">
    <w:pict>
      <v:shape id="_x0000_i1114" type="#_x0000_t75" style="width:3in;height:3in" o:bullet="t"/>
    </w:pict>
  </w:numPicBullet>
  <w:numPicBullet w:numPicBulletId="5">
    <w:pict>
      <v:shape id="_x0000_i1115" type="#_x0000_t75" style="width:3in;height:3in" o:bullet="t"/>
    </w:pict>
  </w:numPicBullet>
  <w:numPicBullet w:numPicBulletId="6">
    <w:pict>
      <v:shape id="_x0000_i1116" type="#_x0000_t75" style="width:3in;height:3in" o:bullet="t"/>
    </w:pict>
  </w:numPicBullet>
  <w:numPicBullet w:numPicBulletId="7">
    <w:pict>
      <v:shape id="_x0000_i1117" type="#_x0000_t75" style="width:3in;height:3in" o:bullet="t"/>
    </w:pict>
  </w:numPicBullet>
  <w:numPicBullet w:numPicBulletId="8">
    <w:pict>
      <v:shape id="_x0000_i1118" type="#_x0000_t75" style="width:3in;height:3in" o:bullet="t"/>
    </w:pict>
  </w:numPicBullet>
  <w:numPicBullet w:numPicBulletId="9">
    <w:pict>
      <v:shape id="_x0000_i1119" type="#_x0000_t75" style="width:3in;height:3in" o:bullet="t"/>
    </w:pict>
  </w:numPicBullet>
  <w:numPicBullet w:numPicBulletId="10">
    <w:pict>
      <v:shape id="_x0000_i1120" type="#_x0000_t75" style="width:3in;height:3in" o:bullet="t"/>
    </w:pict>
  </w:numPicBullet>
  <w:numPicBullet w:numPicBulletId="11">
    <w:pict>
      <v:shape id="_x0000_i1121" type="#_x0000_t75" style="width:3in;height:3in" o:bullet="t"/>
    </w:pict>
  </w:numPicBullet>
  <w:abstractNum w:abstractNumId="0">
    <w:nsid w:val="08000F47"/>
    <w:multiLevelType w:val="multilevel"/>
    <w:tmpl w:val="93525448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3882"/>
    <w:multiLevelType w:val="multilevel"/>
    <w:tmpl w:val="170470B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F71E4"/>
    <w:multiLevelType w:val="multilevel"/>
    <w:tmpl w:val="2E2CCD7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D0C4B"/>
    <w:multiLevelType w:val="multilevel"/>
    <w:tmpl w:val="7C16E26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62101"/>
    <w:multiLevelType w:val="multilevel"/>
    <w:tmpl w:val="9E2688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B073F"/>
    <w:multiLevelType w:val="multilevel"/>
    <w:tmpl w:val="621059B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1122"/>
    <w:rsid w:val="00097A09"/>
    <w:rsid w:val="000D5ECC"/>
    <w:rsid w:val="00422A29"/>
    <w:rsid w:val="007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422A29"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link w:val="Nagwek3Znak"/>
    <w:uiPriority w:val="1"/>
    <w:qFormat/>
    <w:rsid w:val="00422A29"/>
    <w:pPr>
      <w:outlineLvl w:val="2"/>
    </w:pPr>
    <w:rPr>
      <w:rFonts w:ascii="Calibri" w:eastAsia="Calibri" w:hAnsi="Calibri"/>
      <w:b/>
      <w:bCs/>
    </w:rPr>
  </w:style>
  <w:style w:type="paragraph" w:styleId="Nagwek4">
    <w:name w:val="heading 4"/>
    <w:basedOn w:val="Normalny"/>
    <w:link w:val="Nagwek4Znak"/>
    <w:uiPriority w:val="1"/>
    <w:qFormat/>
    <w:rsid w:val="00422A29"/>
    <w:pPr>
      <w:outlineLvl w:val="3"/>
    </w:pPr>
    <w:rPr>
      <w:rFonts w:ascii="Calibri" w:eastAsia="Calibri" w:hAnsi="Calibr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2A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Nagwek6">
    <w:name w:val="heading 6"/>
    <w:basedOn w:val="Normalny"/>
    <w:link w:val="Nagwek6Znak"/>
    <w:uiPriority w:val="1"/>
    <w:qFormat/>
    <w:rsid w:val="00422A29"/>
    <w:pPr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2A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paragraph" w:styleId="Nagwek8">
    <w:name w:val="heading 8"/>
    <w:basedOn w:val="Normalny"/>
    <w:link w:val="Nagwek8Znak"/>
    <w:uiPriority w:val="1"/>
    <w:qFormat/>
    <w:rsid w:val="00422A29"/>
    <w:pPr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A29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22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422A29"/>
    <w:rPr>
      <w:rFonts w:ascii="Calibri" w:eastAsia="Calibri" w:hAnsi="Calibri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22A29"/>
    <w:rPr>
      <w:rFonts w:ascii="Calibri" w:eastAsia="Calibri" w:hAnsi="Calibri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22A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1"/>
    <w:rsid w:val="00422A29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22A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1"/>
    <w:rsid w:val="00422A29"/>
    <w:rPr>
      <w:rFonts w:ascii="Calibri" w:eastAsia="Calibri" w:hAnsi="Calibri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422A29"/>
  </w:style>
  <w:style w:type="paragraph" w:customStyle="1" w:styleId="Body">
    <w:name w:val="Body"/>
    <w:basedOn w:val="Normalny"/>
    <w:uiPriority w:val="1"/>
    <w:qFormat/>
    <w:rsid w:val="00422A29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2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71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cropscience.pl/formy-uzytkowe-srodkow-ochrony-roslin-37.php?search_id=108" TargetMode="External"/><Relationship Id="rId13" Type="http://schemas.openxmlformats.org/officeDocument/2006/relationships/hyperlink" Target="http://www.bayercropscience.pl/formy-uzytkowe-srodkow-ochrony-roslin-37.php?search_id=2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yercropscience.pl/formy-uzytkowe-srodkow-ochrony-roslin-37.php?search_id=273" TargetMode="External"/><Relationship Id="rId12" Type="http://schemas.openxmlformats.org/officeDocument/2006/relationships/hyperlink" Target="http://www.bayercropscience.pl/formy-uzytkowe-srodkow-ochrony-roslin-37.php?search_id=288" TargetMode="External"/><Relationship Id="rId17" Type="http://schemas.openxmlformats.org/officeDocument/2006/relationships/hyperlink" Target="http://www.bayercropscience.pl/formy-uzytkowe-srodkow-ochrony-roslin-37.php?search_id=24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yercropscience.pl/formy-uzytkowe-srodkow-ochrony-roslin-37.php?search_id=2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yercropscience.pl/formy-uzytkowe-srodkow-ochrony-roslin-37.php?search_id=228" TargetMode="External"/><Relationship Id="rId11" Type="http://schemas.openxmlformats.org/officeDocument/2006/relationships/hyperlink" Target="http://www.bayercropscience.pl/formy-uzytkowe-srodkow-ochrony-roslin-37.php?search_id=282" TargetMode="External"/><Relationship Id="rId5" Type="http://schemas.openxmlformats.org/officeDocument/2006/relationships/hyperlink" Target="http://www.bayercropscience.pl/formy-uzytkowe-srodkow-ochrony-roslin-37.php?search_id=203" TargetMode="External"/><Relationship Id="rId15" Type="http://schemas.openxmlformats.org/officeDocument/2006/relationships/hyperlink" Target="http://www.bayercropscience.pl/formy-uzytkowe-srodkow-ochrony-roslin-37.php?search_id=78" TargetMode="External"/><Relationship Id="rId10" Type="http://schemas.openxmlformats.org/officeDocument/2006/relationships/hyperlink" Target="http://www.bayercropscience.pl/formy-uzytkowe-srodkow-ochrony-roslin-37.php?search_id=1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yercropscience.pl/formy-uzytkowe-srodkow-ochrony-roslin-37.php?search_id=274" TargetMode="External"/><Relationship Id="rId14" Type="http://schemas.openxmlformats.org/officeDocument/2006/relationships/hyperlink" Target="http://www.bayercropscience.pl/formy-uzytkowe-srodkow-ochrony-roslin-37.php?search_id=2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4669</Characters>
  <Application>Microsoft Office Word</Application>
  <DocSecurity>0</DocSecurity>
  <Lines>38</Lines>
  <Paragraphs>10</Paragraphs>
  <ScaleCrop>false</ScaleCrop>
  <Company>osoba prywatna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Mika</dc:creator>
  <cp:keywords/>
  <dc:description/>
  <cp:lastModifiedBy>Michał Mika</cp:lastModifiedBy>
  <cp:revision>1</cp:revision>
  <dcterms:created xsi:type="dcterms:W3CDTF">2013-03-13T14:59:00Z</dcterms:created>
  <dcterms:modified xsi:type="dcterms:W3CDTF">2013-03-13T15:00:00Z</dcterms:modified>
</cp:coreProperties>
</file>